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890" w:rsidRPr="00C676F6" w:rsidRDefault="0067486F" w:rsidP="00C174B6">
      <w:pPr>
        <w:widowControl/>
        <w:spacing w:line="340" w:lineRule="exact"/>
        <w:jc w:val="center"/>
        <w:rPr>
          <w:rFonts w:eastAsia="メイリオ" w:cs="MS PGothic" w:hint="eastAsia"/>
          <w:b/>
        </w:rPr>
      </w:pPr>
      <w:r w:rsidRPr="00C676F6">
        <w:rPr>
          <w:rFonts w:eastAsia="メイリオ" w:cs="MS PGothic" w:hint="eastAsia"/>
          <w:b/>
        </w:rPr>
        <w:t>2</w:t>
      </w:r>
      <w:r w:rsidR="00455EA7" w:rsidRPr="00C676F6">
        <w:rPr>
          <w:rFonts w:eastAsia="メイリオ" w:cs="MS PGothic" w:hint="eastAsia"/>
          <w:b/>
        </w:rPr>
        <w:t>4th</w:t>
      </w:r>
      <w:r w:rsidR="008701FE" w:rsidRPr="00C676F6">
        <w:rPr>
          <w:rFonts w:eastAsia="メイリオ" w:cs="MS PGothic" w:hint="eastAsia"/>
          <w:b/>
        </w:rPr>
        <w:t xml:space="preserve"> </w:t>
      </w:r>
      <w:r w:rsidR="00E273A5" w:rsidRPr="00C676F6">
        <w:rPr>
          <w:rFonts w:eastAsia="メイリオ" w:cs="MS PGothic" w:hint="eastAsia"/>
          <w:b/>
        </w:rPr>
        <w:t>Revision of the</w:t>
      </w:r>
      <w:r w:rsidR="005C3890" w:rsidRPr="00C676F6">
        <w:rPr>
          <w:rFonts w:eastAsia="メイリオ" w:cs="MS PGothic" w:hint="eastAsia"/>
          <w:b/>
        </w:rPr>
        <w:t xml:space="preserve"> IBF High Risk Area</w:t>
      </w:r>
      <w:r w:rsidR="001E0B7E" w:rsidRPr="00C676F6">
        <w:rPr>
          <w:rFonts w:eastAsia="メイリオ" w:cs="MS PGothic" w:hint="eastAsia"/>
          <w:b/>
        </w:rPr>
        <w:t xml:space="preserve"> in the Gulf of Aden</w:t>
      </w:r>
    </w:p>
    <w:p w:rsidR="00E273A5" w:rsidRPr="00C676F6" w:rsidRDefault="00455EA7" w:rsidP="00F24D6B">
      <w:pPr>
        <w:widowControl/>
        <w:spacing w:line="340" w:lineRule="exact"/>
        <w:jc w:val="center"/>
        <w:rPr>
          <w:rFonts w:eastAsia="メイリオ" w:cs="MS PGothic"/>
          <w:b/>
        </w:rPr>
      </w:pPr>
      <w:r w:rsidRPr="00C676F6">
        <w:rPr>
          <w:rFonts w:eastAsia="メイリオ" w:cs="MS PGothic" w:hint="eastAsia"/>
          <w:b/>
        </w:rPr>
        <w:t>3</w:t>
      </w:r>
      <w:r w:rsidRPr="00C676F6">
        <w:rPr>
          <w:rFonts w:eastAsia="メイリオ" w:cs="MS PGothic" w:hint="eastAsia"/>
          <w:b/>
          <w:vertAlign w:val="superscript"/>
        </w:rPr>
        <w:t>rd</w:t>
      </w:r>
      <w:r w:rsidRPr="00C676F6">
        <w:rPr>
          <w:rFonts w:eastAsia="メイリオ" w:cs="MS PGothic" w:hint="eastAsia"/>
          <w:b/>
        </w:rPr>
        <w:t xml:space="preserve"> February</w:t>
      </w:r>
      <w:r w:rsidR="005346E4" w:rsidRPr="00C676F6">
        <w:rPr>
          <w:rFonts w:eastAsia="メイリオ" w:cs="MS PGothic"/>
          <w:b/>
        </w:rPr>
        <w:t xml:space="preserve"> 2011</w:t>
      </w:r>
    </w:p>
    <w:p w:rsidR="005C3890" w:rsidRPr="00C676F6" w:rsidRDefault="00455EA7" w:rsidP="00455EA7">
      <w:pPr>
        <w:widowControl/>
        <w:spacing w:line="340" w:lineRule="exact"/>
        <w:jc w:val="center"/>
        <w:rPr>
          <w:rFonts w:eastAsia="メイリオ" w:cs="MS PGothic" w:hint="eastAsia"/>
          <w:b/>
        </w:rPr>
      </w:pPr>
      <w:r w:rsidRPr="00C676F6">
        <w:rPr>
          <w:rFonts w:eastAsia="メイリオ" w:cs="MS PGothic" w:hint="eastAsia"/>
          <w:b/>
        </w:rPr>
        <w:t>Tokyo</w:t>
      </w:r>
      <w:r w:rsidR="005346E4" w:rsidRPr="00C676F6">
        <w:rPr>
          <w:rFonts w:eastAsia="メイリオ" w:cs="MS PGothic" w:hint="eastAsia"/>
          <w:b/>
        </w:rPr>
        <w:t xml:space="preserve">, </w:t>
      </w:r>
      <w:r w:rsidRPr="00C676F6">
        <w:rPr>
          <w:rFonts w:eastAsia="メイリオ" w:cs="MS PGothic" w:hint="eastAsia"/>
          <w:b/>
        </w:rPr>
        <w:t>Japan</w:t>
      </w:r>
    </w:p>
    <w:p w:rsidR="00455EA7" w:rsidRPr="00C676F6" w:rsidRDefault="00455EA7" w:rsidP="00455EA7">
      <w:pPr>
        <w:widowControl/>
        <w:spacing w:line="340" w:lineRule="exact"/>
        <w:jc w:val="center"/>
        <w:rPr>
          <w:rFonts w:eastAsia="メイリオ" w:cs="MS PGothic" w:hint="eastAsia"/>
        </w:rPr>
      </w:pPr>
    </w:p>
    <w:p w:rsidR="00965631" w:rsidRPr="00C676F6" w:rsidRDefault="00701A7F" w:rsidP="00C174B6">
      <w:pPr>
        <w:widowControl/>
        <w:spacing w:line="340" w:lineRule="exact"/>
        <w:jc w:val="left"/>
        <w:rPr>
          <w:rFonts w:eastAsia="MS PGothic" w:cs="Arial" w:hint="eastAsia"/>
        </w:rPr>
      </w:pPr>
      <w:r w:rsidRPr="00C676F6">
        <w:rPr>
          <w:rFonts w:eastAsia="メイリオ" w:cs="MS PGothic" w:hint="eastAsia"/>
        </w:rPr>
        <w:t>Given continuing pirate attacks on merchant ships despite the presence of a number of international navies,</w:t>
      </w:r>
      <w:r w:rsidR="00C84C29" w:rsidRPr="00C676F6">
        <w:rPr>
          <w:rFonts w:eastAsia="メイリオ" w:cs="MS PGothic" w:hint="eastAsia"/>
        </w:rPr>
        <w:t xml:space="preserve"> </w:t>
      </w:r>
      <w:r w:rsidR="00805203" w:rsidRPr="00C676F6">
        <w:rPr>
          <w:rFonts w:eastAsia="MS PGothic" w:cs="Arial" w:hint="eastAsia"/>
        </w:rPr>
        <w:t>the Joint N</w:t>
      </w:r>
      <w:r w:rsidR="00805203" w:rsidRPr="00C676F6">
        <w:rPr>
          <w:rFonts w:eastAsia="MS PGothic" w:cs="Arial"/>
        </w:rPr>
        <w:t>e</w:t>
      </w:r>
      <w:r w:rsidR="00805203" w:rsidRPr="00C676F6">
        <w:rPr>
          <w:rFonts w:eastAsia="MS PGothic" w:cs="Arial" w:hint="eastAsia"/>
        </w:rPr>
        <w:t xml:space="preserve">gotiating Group </w:t>
      </w:r>
      <w:r w:rsidR="00513F32" w:rsidRPr="00C676F6">
        <w:rPr>
          <w:rFonts w:eastAsia="MS PGothic" w:cs="Arial" w:hint="eastAsia"/>
        </w:rPr>
        <w:t xml:space="preserve">(JNG) </w:t>
      </w:r>
      <w:r w:rsidR="00805203" w:rsidRPr="00C676F6">
        <w:rPr>
          <w:rFonts w:eastAsia="MS PGothic" w:cs="Arial" w:hint="eastAsia"/>
        </w:rPr>
        <w:t>and the International Transport Workers Federation</w:t>
      </w:r>
      <w:r w:rsidR="00513F32" w:rsidRPr="00C676F6">
        <w:rPr>
          <w:rFonts w:eastAsia="MS PGothic" w:cs="Arial" w:hint="eastAsia"/>
        </w:rPr>
        <w:t xml:space="preserve"> (ITF)</w:t>
      </w:r>
      <w:r w:rsidR="00C84C29" w:rsidRPr="00C676F6">
        <w:rPr>
          <w:rFonts w:eastAsia="MS PGothic" w:cs="Arial" w:hint="eastAsia"/>
        </w:rPr>
        <w:t xml:space="preserve"> </w:t>
      </w:r>
      <w:r w:rsidR="00553345" w:rsidRPr="00C676F6">
        <w:rPr>
          <w:rFonts w:eastAsia="MS PGothic" w:cs="Arial" w:hint="eastAsia"/>
        </w:rPr>
        <w:t>agree</w:t>
      </w:r>
      <w:r w:rsidR="001F1653" w:rsidRPr="00C676F6">
        <w:rPr>
          <w:rFonts w:eastAsia="MS PGothic" w:cs="Arial" w:hint="eastAsia"/>
        </w:rPr>
        <w:t>d</w:t>
      </w:r>
      <w:r w:rsidR="00553345" w:rsidRPr="00C676F6">
        <w:rPr>
          <w:rFonts w:eastAsia="MS PGothic" w:cs="Arial" w:hint="eastAsia"/>
        </w:rPr>
        <w:t xml:space="preserve"> </w:t>
      </w:r>
      <w:r w:rsidR="00E87858" w:rsidRPr="00C676F6">
        <w:rPr>
          <w:rFonts w:eastAsia="MS PGothic" w:cs="Arial" w:hint="eastAsia"/>
        </w:rPr>
        <w:t xml:space="preserve">in </w:t>
      </w:r>
      <w:r w:rsidR="00455EA7" w:rsidRPr="00C676F6">
        <w:rPr>
          <w:rFonts w:eastAsia="MS PGothic" w:cs="Arial" w:hint="eastAsia"/>
        </w:rPr>
        <w:t>London</w:t>
      </w:r>
      <w:r w:rsidR="00E87858" w:rsidRPr="00C676F6">
        <w:rPr>
          <w:rFonts w:eastAsia="MS PGothic" w:cs="Arial" w:hint="eastAsia"/>
        </w:rPr>
        <w:t xml:space="preserve"> in the U</w:t>
      </w:r>
      <w:r w:rsidR="00455EA7" w:rsidRPr="00C676F6">
        <w:rPr>
          <w:rFonts w:eastAsia="MS PGothic" w:cs="Arial" w:hint="eastAsia"/>
        </w:rPr>
        <w:t>K</w:t>
      </w:r>
      <w:r w:rsidR="00E87858" w:rsidRPr="00C676F6">
        <w:rPr>
          <w:rFonts w:eastAsia="MS PGothic" w:cs="Arial" w:hint="eastAsia"/>
        </w:rPr>
        <w:t xml:space="preserve"> </w:t>
      </w:r>
      <w:r w:rsidR="00C84C29" w:rsidRPr="00C676F6">
        <w:rPr>
          <w:rFonts w:eastAsia="MS PGothic" w:cs="Arial" w:hint="eastAsia"/>
        </w:rPr>
        <w:t>to extend the duration of the IBF High Risk Area (</w:t>
      </w:r>
      <w:r w:rsidR="00E87858" w:rsidRPr="00C676F6">
        <w:rPr>
          <w:rFonts w:eastAsia="MS PGothic" w:cs="Arial" w:hint="eastAsia"/>
        </w:rPr>
        <w:t>2</w:t>
      </w:r>
      <w:r w:rsidR="00455EA7" w:rsidRPr="00C676F6">
        <w:rPr>
          <w:rFonts w:eastAsia="MS PGothic" w:cs="Arial" w:hint="eastAsia"/>
        </w:rPr>
        <w:t>3</w:t>
      </w:r>
      <w:r w:rsidR="00455EA7" w:rsidRPr="00C676F6">
        <w:rPr>
          <w:rFonts w:eastAsia="MS PGothic" w:cs="Arial" w:hint="eastAsia"/>
          <w:vertAlign w:val="superscript"/>
        </w:rPr>
        <w:t>rd</w:t>
      </w:r>
      <w:r w:rsidR="00455EA7" w:rsidRPr="00C676F6">
        <w:rPr>
          <w:rFonts w:eastAsia="MS PGothic" w:cs="Arial" w:hint="eastAsia"/>
        </w:rPr>
        <w:t xml:space="preserve"> </w:t>
      </w:r>
      <w:r w:rsidR="00C84C29" w:rsidRPr="00C676F6">
        <w:rPr>
          <w:rFonts w:eastAsia="MS PGothic" w:cs="Arial" w:hint="eastAsia"/>
        </w:rPr>
        <w:t xml:space="preserve">revision) by </w:t>
      </w:r>
      <w:r w:rsidR="00FC40FC" w:rsidRPr="00C676F6">
        <w:rPr>
          <w:rFonts w:eastAsia="MS PGothic" w:cs="Arial" w:hint="eastAsia"/>
        </w:rPr>
        <w:t>1</w:t>
      </w:r>
      <w:r w:rsidR="00455EA7" w:rsidRPr="00C676F6">
        <w:rPr>
          <w:rFonts w:eastAsia="MS PGothic" w:cs="Arial" w:hint="eastAsia"/>
        </w:rPr>
        <w:t>7</w:t>
      </w:r>
      <w:r w:rsidR="005B583D" w:rsidRPr="00C676F6">
        <w:rPr>
          <w:rFonts w:eastAsia="MS PGothic" w:cs="Arial" w:hint="eastAsia"/>
        </w:rPr>
        <w:t xml:space="preserve"> days</w:t>
      </w:r>
      <w:r w:rsidR="001E0B7E" w:rsidRPr="00C676F6">
        <w:rPr>
          <w:rFonts w:eastAsia="MS PGothic" w:cs="Arial" w:hint="eastAsia"/>
        </w:rPr>
        <w:t>, as follows:</w:t>
      </w:r>
    </w:p>
    <w:p w:rsidR="001E0B7E" w:rsidRPr="00C676F6" w:rsidRDefault="001E0B7E" w:rsidP="00C174B6">
      <w:pPr>
        <w:widowControl/>
        <w:spacing w:line="340" w:lineRule="exact"/>
        <w:jc w:val="left"/>
        <w:rPr>
          <w:rFonts w:eastAsia="MS PGothic" w:cs="Arial" w:hint="eastAsia"/>
        </w:rPr>
      </w:pPr>
    </w:p>
    <w:p w:rsidR="00805203" w:rsidRPr="00C676F6" w:rsidRDefault="00805203" w:rsidP="00C174B6">
      <w:pPr>
        <w:numPr>
          <w:ilvl w:val="0"/>
          <w:numId w:val="11"/>
        </w:numPr>
        <w:spacing w:line="340" w:lineRule="exact"/>
        <w:jc w:val="left"/>
        <w:rPr>
          <w:rFonts w:eastAsia="MS PGothic" w:cs="Arial" w:hint="eastAsia"/>
        </w:rPr>
      </w:pPr>
      <w:r w:rsidRPr="00C676F6">
        <w:rPr>
          <w:rFonts w:eastAsia="メイリオ" w:cs="MS PGothic" w:hint="eastAsia"/>
        </w:rPr>
        <w:t>The Area designated as the IBF H</w:t>
      </w:r>
      <w:r w:rsidRPr="00C676F6">
        <w:rPr>
          <w:rFonts w:eastAsia="メイリオ" w:cs="MS PGothic"/>
        </w:rPr>
        <w:t>i</w:t>
      </w:r>
      <w:r w:rsidRPr="00C676F6">
        <w:rPr>
          <w:rFonts w:eastAsia="メイリオ" w:cs="MS PGothic" w:hint="eastAsia"/>
        </w:rPr>
        <w:t>gh Risk Area as at 00</w:t>
      </w:r>
      <w:r w:rsidR="00E70281" w:rsidRPr="00C676F6">
        <w:rPr>
          <w:rFonts w:eastAsia="メイリオ" w:cs="MS PGothic" w:hint="eastAsia"/>
        </w:rPr>
        <w:t>0</w:t>
      </w:r>
      <w:r w:rsidRPr="00C676F6">
        <w:rPr>
          <w:rFonts w:eastAsia="メイリオ" w:cs="MS PGothic" w:hint="eastAsia"/>
        </w:rPr>
        <w:t>1Z on 1</w:t>
      </w:r>
      <w:r w:rsidRPr="00C676F6">
        <w:rPr>
          <w:rFonts w:eastAsia="メイリオ" w:cs="MS PGothic" w:hint="eastAsia"/>
          <w:vertAlign w:val="superscript"/>
        </w:rPr>
        <w:t>st</w:t>
      </w:r>
      <w:r w:rsidRPr="00C676F6">
        <w:rPr>
          <w:rFonts w:eastAsia="メイリオ" w:cs="MS PGothic" w:hint="eastAsia"/>
        </w:rPr>
        <w:t xml:space="preserve"> February 2009 in light of the revised UKMTO Transit Corridor </w:t>
      </w:r>
      <w:r w:rsidRPr="00C676F6">
        <w:rPr>
          <w:rFonts w:eastAsia="メイリオ" w:cs="MS PGothic"/>
        </w:rPr>
        <w:t>(</w:t>
      </w:r>
      <w:r w:rsidR="00177A5B" w:rsidRPr="00C676F6">
        <w:rPr>
          <w:rFonts w:cs="Arial"/>
        </w:rPr>
        <w:t xml:space="preserve">officially named </w:t>
      </w:r>
      <w:r w:rsidR="00177A5B" w:rsidRPr="00C676F6">
        <w:rPr>
          <w:rFonts w:cs="Arial"/>
          <w:b/>
        </w:rPr>
        <w:t xml:space="preserve">International Recommended Transit Corridor </w:t>
      </w:r>
      <w:r w:rsidR="00177A5B" w:rsidRPr="00C676F6">
        <w:rPr>
          <w:rStyle w:val="aa"/>
          <w:rFonts w:cs="Arial"/>
        </w:rPr>
        <w:t>– IRTC</w:t>
      </w:r>
      <w:r w:rsidRPr="00C676F6">
        <w:rPr>
          <w:rFonts w:eastAsia="メイリオ" w:cs="MS PGothic" w:hint="eastAsia"/>
        </w:rPr>
        <w:t>) will be maintained, as follows:</w:t>
      </w:r>
    </w:p>
    <w:p w:rsidR="00AE70E3" w:rsidRPr="00C676F6" w:rsidRDefault="00AE70E3" w:rsidP="00C174B6">
      <w:pPr>
        <w:spacing w:line="340" w:lineRule="exact"/>
        <w:ind w:left="360"/>
        <w:jc w:val="left"/>
        <w:rPr>
          <w:rFonts w:eastAsia="MS PGothic" w:cs="Arial" w:hint="eastAsia"/>
        </w:rPr>
      </w:pPr>
    </w:p>
    <w:p w:rsidR="00AE70E3" w:rsidRPr="00C676F6" w:rsidRDefault="00AE70E3" w:rsidP="00C174B6">
      <w:pPr>
        <w:widowControl/>
        <w:spacing w:line="340" w:lineRule="exact"/>
        <w:ind w:left="709" w:rightChars="176" w:right="422"/>
        <w:jc w:val="left"/>
        <w:rPr>
          <w:rFonts w:eastAsia="MS PGothic" w:cs="MS PGothic"/>
          <w:lang w:val="en-US"/>
        </w:rPr>
      </w:pPr>
      <w:r w:rsidRPr="00C676F6">
        <w:rPr>
          <w:rFonts w:eastAsia="メイリオ" w:cs="MS PGothic"/>
        </w:rPr>
        <w:t xml:space="preserve">“The western border of the </w:t>
      </w:r>
      <w:r w:rsidRPr="00C676F6">
        <w:rPr>
          <w:rFonts w:eastAsia="メイリオ" w:cs="MS PGothic" w:hint="eastAsia"/>
        </w:rPr>
        <w:t>High Risk Area</w:t>
      </w:r>
      <w:r w:rsidRPr="00C676F6">
        <w:rPr>
          <w:rFonts w:eastAsia="メイリオ" w:cs="MS PGothic"/>
        </w:rPr>
        <w:t xml:space="preserve"> runs from the coastline at the border of Djibouti and Somalia to position </w:t>
      </w:r>
      <w:r w:rsidRPr="00C676F6">
        <w:rPr>
          <w:rFonts w:cs="Arial"/>
        </w:rPr>
        <w:t>11 48 N</w:t>
      </w:r>
      <w:r w:rsidRPr="00C676F6">
        <w:rPr>
          <w:rFonts w:eastAsia="メイリオ" w:cs="MS PGothic"/>
        </w:rPr>
        <w:t xml:space="preserve">, 45 E; from 12 </w:t>
      </w:r>
      <w:r w:rsidRPr="00C676F6">
        <w:rPr>
          <w:rFonts w:eastAsia="メイリオ" w:cs="MS PGothic" w:hint="eastAsia"/>
        </w:rPr>
        <w:t>00</w:t>
      </w:r>
      <w:r w:rsidRPr="00C676F6">
        <w:rPr>
          <w:rFonts w:eastAsia="メイリオ" w:cs="MS PGothic"/>
        </w:rPr>
        <w:t xml:space="preserve"> N, 45 E to Mayyun Island in the Bab El Mandeb Straits.</w:t>
      </w:r>
    </w:p>
    <w:p w:rsidR="00AE70E3" w:rsidRPr="00C676F6" w:rsidRDefault="00AE70E3" w:rsidP="00C174B6">
      <w:pPr>
        <w:widowControl/>
        <w:spacing w:line="340" w:lineRule="exact"/>
        <w:ind w:left="709" w:rightChars="176" w:right="422"/>
        <w:jc w:val="left"/>
        <w:rPr>
          <w:rFonts w:eastAsia="メイリオ" w:cs="MS PGothic" w:hint="eastAsia"/>
        </w:rPr>
      </w:pPr>
      <w:r w:rsidRPr="00C676F6">
        <w:rPr>
          <w:rFonts w:eastAsia="メイリオ" w:cs="MS PGothic"/>
        </w:rPr>
        <w:t>The Eastern Border runs from Rhiy di-Irisal on Suqutra Island to position 14</w:t>
      </w:r>
      <w:r w:rsidRPr="00C676F6">
        <w:rPr>
          <w:rFonts w:eastAsia="メイリオ" w:cs="MS PGothic" w:hint="eastAsia"/>
        </w:rPr>
        <w:t xml:space="preserve"> </w:t>
      </w:r>
      <w:r w:rsidR="000D0F76" w:rsidRPr="00C676F6">
        <w:rPr>
          <w:rFonts w:eastAsia="メイリオ" w:cs="MS PGothic" w:hint="eastAsia"/>
        </w:rPr>
        <w:t>18</w:t>
      </w:r>
      <w:r w:rsidRPr="00C676F6">
        <w:rPr>
          <w:rFonts w:eastAsia="メイリオ" w:cs="MS PGothic"/>
        </w:rPr>
        <w:t xml:space="preserve"> N, 53 E; from 14 </w:t>
      </w:r>
      <w:r w:rsidRPr="00C676F6">
        <w:rPr>
          <w:rFonts w:eastAsia="メイリオ" w:cs="MS PGothic" w:hint="eastAsia"/>
        </w:rPr>
        <w:t>30</w:t>
      </w:r>
      <w:r w:rsidRPr="00C676F6">
        <w:rPr>
          <w:rFonts w:eastAsia="メイリオ" w:cs="MS PGothic"/>
        </w:rPr>
        <w:t xml:space="preserve"> N, 53 E to the coastline at the border between Yemen and Oman.”</w:t>
      </w:r>
    </w:p>
    <w:p w:rsidR="00AE70E3" w:rsidRPr="00C676F6" w:rsidRDefault="00AE70E3" w:rsidP="00C174B6">
      <w:pPr>
        <w:spacing w:line="340" w:lineRule="exact"/>
        <w:jc w:val="left"/>
        <w:rPr>
          <w:rFonts w:eastAsia="MS PGothic" w:cs="Arial" w:hint="eastAsia"/>
        </w:rPr>
      </w:pPr>
    </w:p>
    <w:p w:rsidR="00882FDC" w:rsidRPr="00C676F6" w:rsidRDefault="00882FDC" w:rsidP="00C174B6">
      <w:pPr>
        <w:numPr>
          <w:ilvl w:val="0"/>
          <w:numId w:val="11"/>
        </w:numPr>
        <w:spacing w:line="340" w:lineRule="exact"/>
        <w:jc w:val="left"/>
        <w:rPr>
          <w:rFonts w:eastAsia="MS PGothic" w:cs="Arial" w:hint="eastAsia"/>
        </w:rPr>
      </w:pPr>
      <w:r w:rsidRPr="00C676F6">
        <w:rPr>
          <w:rFonts w:eastAsia="MS PGothic" w:cs="Arial" w:hint="eastAsia"/>
        </w:rPr>
        <w:t xml:space="preserve">In addition, </w:t>
      </w:r>
      <w:r w:rsidRPr="00C676F6">
        <w:rPr>
          <w:rFonts w:hint="eastAsia"/>
        </w:rPr>
        <w:t xml:space="preserve">the </w:t>
      </w:r>
      <w:r w:rsidRPr="00C676F6">
        <w:t>“</w:t>
      </w:r>
      <w:r w:rsidRPr="00C676F6">
        <w:rPr>
          <w:rFonts w:hint="eastAsia"/>
        </w:rPr>
        <w:t>coordinates</w:t>
      </w:r>
      <w:r w:rsidRPr="00C676F6">
        <w:t>”</w:t>
      </w:r>
      <w:r w:rsidRPr="00C676F6">
        <w:rPr>
          <w:rFonts w:hint="eastAsia"/>
        </w:rPr>
        <w:t xml:space="preserve"> of the IBF High Risk Area in 1 above </w:t>
      </w:r>
      <w:r w:rsidR="00C84C29" w:rsidRPr="00C676F6">
        <w:rPr>
          <w:rFonts w:hint="eastAsia"/>
        </w:rPr>
        <w:t xml:space="preserve">is </w:t>
      </w:r>
      <w:r w:rsidRPr="00C676F6">
        <w:rPr>
          <w:rFonts w:hint="eastAsia"/>
        </w:rPr>
        <w:t xml:space="preserve">extended to incorporate the 400 mile zone off the eastern coast of Somalia, i.e. from Socotra Island down to the Kenyan border.  The IBF High Risk Area, including the IRTC, is attached in </w:t>
      </w:r>
      <w:r w:rsidRPr="00C676F6">
        <w:rPr>
          <w:rFonts w:hint="eastAsia"/>
          <w:b/>
        </w:rPr>
        <w:t>Annex</w:t>
      </w:r>
      <w:r w:rsidRPr="00C676F6">
        <w:rPr>
          <w:rFonts w:hint="eastAsia"/>
        </w:rPr>
        <w:t>.</w:t>
      </w:r>
    </w:p>
    <w:p w:rsidR="00882FDC" w:rsidRPr="00C676F6" w:rsidRDefault="00882FDC" w:rsidP="00C174B6">
      <w:pPr>
        <w:spacing w:line="340" w:lineRule="exact"/>
        <w:ind w:left="360"/>
        <w:jc w:val="left"/>
        <w:rPr>
          <w:rFonts w:eastAsia="MS PGothic" w:cs="Arial" w:hint="eastAsia"/>
        </w:rPr>
      </w:pPr>
    </w:p>
    <w:p w:rsidR="00AE70E3" w:rsidRPr="00C676F6" w:rsidRDefault="00AE70E3" w:rsidP="00C174B6">
      <w:pPr>
        <w:numPr>
          <w:ilvl w:val="0"/>
          <w:numId w:val="11"/>
        </w:numPr>
        <w:spacing w:line="340" w:lineRule="exact"/>
        <w:jc w:val="left"/>
        <w:rPr>
          <w:rFonts w:eastAsia="MS PGothic" w:cs="Arial" w:hint="eastAsia"/>
        </w:rPr>
      </w:pPr>
      <w:r w:rsidRPr="00C676F6">
        <w:rPr>
          <w:rFonts w:eastAsia="MS PGothic" w:cs="Arial" w:hint="eastAsia"/>
        </w:rPr>
        <w:t>During the period of transit of the area designated as the IBF High Risk Area, each seafarer shall receive a bonus equal to 100% of the basic wage.</w:t>
      </w:r>
    </w:p>
    <w:p w:rsidR="00AE70E3" w:rsidRPr="00C676F6" w:rsidRDefault="00AE70E3" w:rsidP="00C174B6">
      <w:pPr>
        <w:spacing w:line="340" w:lineRule="exact"/>
        <w:ind w:left="360"/>
        <w:jc w:val="left"/>
        <w:rPr>
          <w:rFonts w:eastAsia="MS PGothic" w:cs="Arial" w:hint="eastAsia"/>
        </w:rPr>
      </w:pPr>
    </w:p>
    <w:p w:rsidR="00AE70E3" w:rsidRPr="00C676F6" w:rsidRDefault="00AE70E3" w:rsidP="00C174B6">
      <w:pPr>
        <w:numPr>
          <w:ilvl w:val="0"/>
          <w:numId w:val="11"/>
        </w:numPr>
        <w:spacing w:line="340" w:lineRule="exact"/>
        <w:jc w:val="left"/>
        <w:rPr>
          <w:rFonts w:eastAsia="MS PGothic" w:cs="Arial" w:hint="eastAsia"/>
        </w:rPr>
      </w:pPr>
      <w:r w:rsidRPr="00C676F6">
        <w:rPr>
          <w:rFonts w:eastAsia="MS PGothic" w:cs="Arial" w:hint="eastAsia"/>
        </w:rPr>
        <w:t>During the period of the transit, the compensation payable in case of death and disability shall be doubled.</w:t>
      </w:r>
    </w:p>
    <w:p w:rsidR="00AE70E3" w:rsidRPr="00C676F6" w:rsidRDefault="00AE70E3" w:rsidP="00C174B6">
      <w:pPr>
        <w:spacing w:line="340" w:lineRule="exact"/>
        <w:jc w:val="left"/>
        <w:rPr>
          <w:rFonts w:eastAsia="MS PGothic" w:cs="Arial" w:hint="eastAsia"/>
        </w:rPr>
      </w:pPr>
    </w:p>
    <w:p w:rsidR="00540854" w:rsidRPr="00C676F6" w:rsidRDefault="00540854" w:rsidP="00C174B6">
      <w:pPr>
        <w:numPr>
          <w:ilvl w:val="0"/>
          <w:numId w:val="11"/>
        </w:numPr>
        <w:spacing w:line="340" w:lineRule="exact"/>
        <w:jc w:val="left"/>
        <w:rPr>
          <w:rFonts w:eastAsia="MS PGothic" w:cs="Arial" w:hint="eastAsia"/>
        </w:rPr>
      </w:pPr>
      <w:r w:rsidRPr="00C676F6">
        <w:rPr>
          <w:rFonts w:eastAsia="MS PGothic" w:cs="Arial" w:hint="eastAsia"/>
        </w:rPr>
        <w:t>In the case of vessel</w:t>
      </w:r>
      <w:r w:rsidR="00805203" w:rsidRPr="00C676F6">
        <w:rPr>
          <w:rFonts w:eastAsia="MS PGothic" w:cs="Arial" w:hint="eastAsia"/>
        </w:rPr>
        <w:t>s that</w:t>
      </w:r>
      <w:r w:rsidR="006E37D2" w:rsidRPr="00C676F6">
        <w:rPr>
          <w:rFonts w:eastAsia="MS PGothic" w:cs="Arial" w:hint="eastAsia"/>
        </w:rPr>
        <w:t xml:space="preserve"> will transit the IBF High Risk Area </w:t>
      </w:r>
      <w:r w:rsidR="006E37D2" w:rsidRPr="00C676F6">
        <w:rPr>
          <w:rFonts w:eastAsia="MS PGothic" w:cs="Arial" w:hint="eastAsia"/>
          <w:b/>
        </w:rPr>
        <w:t>outside</w:t>
      </w:r>
      <w:r w:rsidR="006E37D2" w:rsidRPr="00C676F6">
        <w:rPr>
          <w:rFonts w:eastAsia="MS PGothic" w:cs="Arial" w:hint="eastAsia"/>
        </w:rPr>
        <w:t xml:space="preserve"> of the </w:t>
      </w:r>
      <w:r w:rsidR="006E37D2" w:rsidRPr="00C676F6">
        <w:rPr>
          <w:rFonts w:eastAsia="MS UI Gothic" w:cs="Arial"/>
        </w:rPr>
        <w:t>east bound and west bound lanes</w:t>
      </w:r>
      <w:r w:rsidR="006E37D2" w:rsidRPr="00C676F6">
        <w:rPr>
          <w:rFonts w:eastAsia="MS UI Gothic" w:cs="Arial" w:hint="eastAsia"/>
        </w:rPr>
        <w:t xml:space="preserve"> created under the </w:t>
      </w:r>
      <w:r w:rsidR="002C1CB8" w:rsidRPr="00C676F6">
        <w:rPr>
          <w:rFonts w:cs="Arial"/>
        </w:rPr>
        <w:t>International Recommended Transit Corridor</w:t>
      </w:r>
      <w:r w:rsidR="002C1CB8" w:rsidRPr="00C676F6">
        <w:rPr>
          <w:rFonts w:cs="Arial" w:hint="eastAsia"/>
        </w:rPr>
        <w:t xml:space="preserve"> (IRTC)</w:t>
      </w:r>
      <w:r w:rsidR="006E37D2" w:rsidRPr="00C676F6">
        <w:rPr>
          <w:rFonts w:eastAsia="MS UI Gothic" w:cs="Arial" w:hint="eastAsia"/>
        </w:rPr>
        <w:t>, seafarers have the right not to proceed with the passage.  In such an event, the seafarer concerned shall be repatriated at the company</w:t>
      </w:r>
      <w:r w:rsidR="006E37D2" w:rsidRPr="00C676F6">
        <w:rPr>
          <w:rFonts w:eastAsia="MS UI Gothic" w:cs="Arial"/>
        </w:rPr>
        <w:t>’</w:t>
      </w:r>
      <w:r w:rsidR="006E37D2" w:rsidRPr="00C676F6">
        <w:rPr>
          <w:rFonts w:eastAsia="MS UI Gothic" w:cs="Arial" w:hint="eastAsia"/>
        </w:rPr>
        <w:t xml:space="preserve">s cost with </w:t>
      </w:r>
      <w:r w:rsidR="00A6256F" w:rsidRPr="00C676F6">
        <w:rPr>
          <w:rFonts w:eastAsia="MS UI Gothic" w:cs="Arial"/>
        </w:rPr>
        <w:t>benefits</w:t>
      </w:r>
      <w:r w:rsidR="006E37D2" w:rsidRPr="00C676F6">
        <w:rPr>
          <w:rFonts w:eastAsia="MS UI Gothic" w:cs="Arial" w:hint="eastAsia"/>
        </w:rPr>
        <w:t xml:space="preserve"> accrued until date of return </w:t>
      </w:r>
      <w:r w:rsidR="006E37D2" w:rsidRPr="00C676F6">
        <w:rPr>
          <w:rFonts w:eastAsia="MS UI Gothic" w:cs="Arial" w:hint="eastAsia"/>
        </w:rPr>
        <w:lastRenderedPageBreak/>
        <w:t>to the port of engagement.</w:t>
      </w:r>
    </w:p>
    <w:p w:rsidR="00540854" w:rsidRPr="00C676F6" w:rsidRDefault="00540854" w:rsidP="00C174B6">
      <w:pPr>
        <w:spacing w:line="340" w:lineRule="exact"/>
        <w:jc w:val="left"/>
        <w:rPr>
          <w:rFonts w:eastAsia="MS PGothic" w:cs="Arial" w:hint="eastAsia"/>
        </w:rPr>
      </w:pPr>
    </w:p>
    <w:p w:rsidR="00540854" w:rsidRPr="00C676F6" w:rsidRDefault="00540854" w:rsidP="00C174B6">
      <w:pPr>
        <w:numPr>
          <w:ilvl w:val="0"/>
          <w:numId w:val="11"/>
        </w:numPr>
        <w:spacing w:line="340" w:lineRule="exact"/>
        <w:jc w:val="left"/>
        <w:rPr>
          <w:rFonts w:eastAsia="MS PGothic" w:cs="Arial"/>
        </w:rPr>
      </w:pPr>
      <w:r w:rsidRPr="00C676F6">
        <w:rPr>
          <w:rFonts w:eastAsia="MS PGothic"/>
          <w:lang w:val="en-US"/>
        </w:rPr>
        <w:t xml:space="preserve">Vessels may deviate from the </w:t>
      </w:r>
      <w:r w:rsidR="00E53645" w:rsidRPr="00C676F6">
        <w:rPr>
          <w:rFonts w:cs="Arial"/>
        </w:rPr>
        <w:t>International Recommended Transit Corridor</w:t>
      </w:r>
      <w:r w:rsidR="00E53645" w:rsidRPr="00C676F6">
        <w:rPr>
          <w:rFonts w:cs="Arial" w:hint="eastAsia"/>
        </w:rPr>
        <w:t xml:space="preserve"> (IRTC)</w:t>
      </w:r>
      <w:r w:rsidR="00E53645" w:rsidRPr="00C676F6">
        <w:rPr>
          <w:rFonts w:eastAsia="MS PGothic" w:hint="eastAsia"/>
          <w:lang w:val="en-US"/>
        </w:rPr>
        <w:t xml:space="preserve"> </w:t>
      </w:r>
      <w:r w:rsidRPr="00C676F6">
        <w:rPr>
          <w:rFonts w:eastAsia="MS PGothic" w:hint="eastAsia"/>
          <w:lang w:val="en-US"/>
        </w:rPr>
        <w:t>lanes</w:t>
      </w:r>
      <w:r w:rsidR="00DF18EF" w:rsidRPr="00C676F6">
        <w:rPr>
          <w:rFonts w:eastAsia="MS PGothic"/>
          <w:lang w:val="en-US"/>
        </w:rPr>
        <w:t xml:space="preserve"> without </w:t>
      </w:r>
      <w:r w:rsidR="00DF18EF" w:rsidRPr="00C676F6">
        <w:rPr>
          <w:rFonts w:eastAsia="MS PGothic" w:hint="eastAsia"/>
          <w:lang w:val="en-US"/>
        </w:rPr>
        <w:t>a</w:t>
      </w:r>
      <w:r w:rsidRPr="00C676F6">
        <w:rPr>
          <w:rFonts w:eastAsia="MS PGothic"/>
          <w:lang w:val="en-US"/>
        </w:rPr>
        <w:t>ffecting t</w:t>
      </w:r>
      <w:r w:rsidR="005C479B" w:rsidRPr="00C676F6">
        <w:rPr>
          <w:rFonts w:eastAsia="MS PGothic"/>
          <w:lang w:val="en-US"/>
        </w:rPr>
        <w:t xml:space="preserve">he terms and conditions </w:t>
      </w:r>
      <w:r w:rsidR="005C479B" w:rsidRPr="00C676F6">
        <w:rPr>
          <w:rFonts w:eastAsia="MS PGothic" w:hint="eastAsia"/>
          <w:lang w:val="en-US"/>
        </w:rPr>
        <w:t>for</w:t>
      </w:r>
      <w:r w:rsidRPr="00C676F6">
        <w:rPr>
          <w:rFonts w:eastAsia="MS PGothic"/>
          <w:lang w:val="en-US"/>
        </w:rPr>
        <w:t xml:space="preserve"> the </w:t>
      </w:r>
      <w:r w:rsidRPr="00C676F6">
        <w:rPr>
          <w:rFonts w:eastAsia="MS PGothic" w:hint="eastAsia"/>
          <w:lang w:val="en-US"/>
        </w:rPr>
        <w:t>s</w:t>
      </w:r>
      <w:r w:rsidRPr="00C676F6">
        <w:rPr>
          <w:rFonts w:eastAsia="MS PGothic"/>
          <w:lang w:val="en-US"/>
        </w:rPr>
        <w:t xml:space="preserve">eafarers onboard for collision avoidance purposes only, as long as </w:t>
      </w:r>
      <w:r w:rsidR="000E436A" w:rsidRPr="00C676F6">
        <w:rPr>
          <w:rFonts w:eastAsia="MS PGothic" w:hint="eastAsia"/>
          <w:lang w:val="en-US"/>
        </w:rPr>
        <w:t>they</w:t>
      </w:r>
      <w:r w:rsidRPr="00C676F6">
        <w:rPr>
          <w:rFonts w:eastAsia="MS PGothic"/>
          <w:lang w:val="en-US"/>
        </w:rPr>
        <w:t xml:space="preserve"> </w:t>
      </w:r>
      <w:r w:rsidR="00DF18EF" w:rsidRPr="00C676F6">
        <w:rPr>
          <w:rFonts w:eastAsia="MS PGothic" w:hint="eastAsia"/>
          <w:lang w:val="en-US"/>
        </w:rPr>
        <w:t xml:space="preserve">are </w:t>
      </w:r>
      <w:r w:rsidR="000E436A" w:rsidRPr="00C676F6">
        <w:rPr>
          <w:rFonts w:eastAsia="MS PGothic"/>
          <w:lang w:val="en-US"/>
        </w:rPr>
        <w:t>return</w:t>
      </w:r>
      <w:r w:rsidR="00DF18EF" w:rsidRPr="00C676F6">
        <w:rPr>
          <w:rFonts w:eastAsia="MS PGothic" w:hint="eastAsia"/>
          <w:lang w:val="en-US"/>
        </w:rPr>
        <w:t>ed</w:t>
      </w:r>
      <w:r w:rsidR="000E436A" w:rsidRPr="00C676F6">
        <w:rPr>
          <w:rFonts w:eastAsia="MS PGothic"/>
          <w:lang w:val="en-US"/>
        </w:rPr>
        <w:t xml:space="preserve"> to </w:t>
      </w:r>
      <w:r w:rsidR="000C5DA3" w:rsidRPr="00C676F6">
        <w:rPr>
          <w:rFonts w:eastAsia="MS PGothic" w:hint="eastAsia"/>
          <w:lang w:val="en-US"/>
        </w:rPr>
        <w:t>the</w:t>
      </w:r>
      <w:r w:rsidR="000E436A" w:rsidRPr="00C676F6">
        <w:rPr>
          <w:rFonts w:eastAsia="MS PGothic" w:hint="eastAsia"/>
          <w:lang w:val="en-US"/>
        </w:rPr>
        <w:t xml:space="preserve"> </w:t>
      </w:r>
      <w:r w:rsidRPr="00C676F6">
        <w:rPr>
          <w:rFonts w:eastAsia="MS PGothic"/>
          <w:lang w:val="en-US"/>
        </w:rPr>
        <w:t xml:space="preserve">original </w:t>
      </w:r>
      <w:r w:rsidRPr="00C676F6">
        <w:rPr>
          <w:rFonts w:eastAsia="MS PGothic" w:hint="eastAsia"/>
          <w:lang w:val="en-US"/>
        </w:rPr>
        <w:t>lane</w:t>
      </w:r>
      <w:r w:rsidR="000E436A" w:rsidRPr="00C676F6">
        <w:rPr>
          <w:rFonts w:eastAsia="MS PGothic" w:hint="eastAsia"/>
          <w:lang w:val="en-US"/>
        </w:rPr>
        <w:t>s</w:t>
      </w:r>
      <w:r w:rsidRPr="00C676F6">
        <w:rPr>
          <w:rFonts w:eastAsia="MS PGothic"/>
          <w:lang w:val="en-US"/>
        </w:rPr>
        <w:t xml:space="preserve"> as soon as it is safe and practicable to do so.</w:t>
      </w:r>
    </w:p>
    <w:p w:rsidR="00540854" w:rsidRPr="00C676F6" w:rsidRDefault="00540854" w:rsidP="00C174B6">
      <w:pPr>
        <w:spacing w:line="340" w:lineRule="exact"/>
        <w:jc w:val="left"/>
        <w:rPr>
          <w:rFonts w:eastAsia="MS PGothic" w:cs="Arial" w:hint="eastAsia"/>
        </w:rPr>
      </w:pPr>
    </w:p>
    <w:p w:rsidR="00521077" w:rsidRPr="00C676F6" w:rsidRDefault="00540854" w:rsidP="00C174B6">
      <w:pPr>
        <w:numPr>
          <w:ilvl w:val="0"/>
          <w:numId w:val="11"/>
        </w:numPr>
        <w:spacing w:line="340" w:lineRule="exact"/>
        <w:jc w:val="left"/>
        <w:rPr>
          <w:rFonts w:eastAsia="MS PGothic" w:cs="Arial" w:hint="eastAsia"/>
        </w:rPr>
      </w:pPr>
      <w:r w:rsidRPr="00C676F6">
        <w:rPr>
          <w:rFonts w:eastAsia="メイリオ" w:cs="MS PGothic" w:hint="eastAsia"/>
          <w:lang w:val="en-US"/>
        </w:rPr>
        <w:t>The</w:t>
      </w:r>
      <w:r w:rsidR="004222A8" w:rsidRPr="00C676F6">
        <w:rPr>
          <w:rFonts w:eastAsia="メイリオ" w:cs="MS PGothic"/>
          <w:lang w:val="en-US"/>
        </w:rPr>
        <w:t xml:space="preserve"> bonus and other benefits </w:t>
      </w:r>
      <w:r w:rsidR="004222A8" w:rsidRPr="00C676F6">
        <w:rPr>
          <w:rFonts w:eastAsia="メイリオ" w:cs="MS PGothic" w:hint="eastAsia"/>
          <w:lang w:val="en-US"/>
        </w:rPr>
        <w:t xml:space="preserve">in paragraphs </w:t>
      </w:r>
      <w:r w:rsidR="00882FDC" w:rsidRPr="00C676F6">
        <w:rPr>
          <w:rFonts w:eastAsia="メイリオ" w:cs="MS PGothic" w:hint="eastAsia"/>
          <w:lang w:val="en-US"/>
        </w:rPr>
        <w:t>3</w:t>
      </w:r>
      <w:r w:rsidR="004222A8" w:rsidRPr="00C676F6">
        <w:rPr>
          <w:rFonts w:eastAsia="メイリオ" w:cs="MS PGothic" w:hint="eastAsia"/>
          <w:lang w:val="en-US"/>
        </w:rPr>
        <w:t xml:space="preserve"> and </w:t>
      </w:r>
      <w:r w:rsidR="00882FDC" w:rsidRPr="00C676F6">
        <w:rPr>
          <w:rFonts w:eastAsia="メイリオ" w:cs="MS PGothic" w:hint="eastAsia"/>
          <w:lang w:val="en-US"/>
        </w:rPr>
        <w:t>4</w:t>
      </w:r>
      <w:r w:rsidR="004222A8" w:rsidRPr="00C676F6">
        <w:rPr>
          <w:rFonts w:eastAsia="メイリオ" w:cs="MS PGothic" w:hint="eastAsia"/>
          <w:lang w:val="en-US"/>
        </w:rPr>
        <w:t xml:space="preserve"> above </w:t>
      </w:r>
      <w:r w:rsidRPr="00C676F6">
        <w:rPr>
          <w:rFonts w:eastAsia="メイリオ" w:cs="MS PGothic"/>
          <w:lang w:val="en-US"/>
        </w:rPr>
        <w:t xml:space="preserve">will not apply while </w:t>
      </w:r>
      <w:r w:rsidRPr="00C676F6">
        <w:rPr>
          <w:rFonts w:eastAsia="メイリオ" w:cs="MS PGothic" w:hint="eastAsia"/>
          <w:lang w:val="en-US"/>
        </w:rPr>
        <w:t>vessel</w:t>
      </w:r>
      <w:r w:rsidR="004222A8" w:rsidRPr="00C676F6">
        <w:rPr>
          <w:rFonts w:eastAsia="メイリオ" w:cs="MS PGothic"/>
          <w:lang w:val="en-US"/>
        </w:rPr>
        <w:t xml:space="preserve">s are alongside a berth, at anchor in secure anchorages off Yemeni ports or attached to a Yemeni SBM facility. </w:t>
      </w:r>
      <w:r w:rsidR="00101523" w:rsidRPr="00C676F6">
        <w:rPr>
          <w:rFonts w:eastAsia="メイリオ" w:cs="MS PGothic" w:hint="eastAsia"/>
          <w:lang w:val="en-US"/>
        </w:rPr>
        <w:t xml:space="preserve"> </w:t>
      </w:r>
      <w:r w:rsidR="004222A8" w:rsidRPr="00C676F6">
        <w:rPr>
          <w:rFonts w:eastAsia="メイリオ" w:cs="MS PGothic"/>
          <w:lang w:val="en-US"/>
        </w:rPr>
        <w:t xml:space="preserve">It is understood that vessels will have to transit the high risk area in order to proceed to Yemeni ports and as such the bonuses mentioned in above should cease when a vessel is either all secure alongside, brought up to her anchor or fully coupled to a SBM. </w:t>
      </w:r>
      <w:r w:rsidR="00101523" w:rsidRPr="00C676F6">
        <w:rPr>
          <w:rFonts w:eastAsia="メイリオ" w:cs="MS PGothic" w:hint="eastAsia"/>
          <w:lang w:val="en-US"/>
        </w:rPr>
        <w:t xml:space="preserve"> </w:t>
      </w:r>
      <w:r w:rsidR="004222A8" w:rsidRPr="00C676F6">
        <w:rPr>
          <w:rFonts w:eastAsia="メイリオ" w:cs="MS PGothic"/>
          <w:lang w:val="en-US"/>
        </w:rPr>
        <w:t>Likewise when sailing the bonuses etc. should commence when the vessel “all gone”</w:t>
      </w:r>
      <w:r w:rsidR="00101523" w:rsidRPr="00C676F6">
        <w:rPr>
          <w:rFonts w:eastAsia="メイリオ" w:cs="MS PGothic" w:hint="eastAsia"/>
          <w:lang w:val="en-US"/>
        </w:rPr>
        <w:t>,</w:t>
      </w:r>
      <w:r w:rsidR="004222A8" w:rsidRPr="00C676F6">
        <w:rPr>
          <w:rFonts w:eastAsia="メイリオ" w:cs="MS PGothic"/>
          <w:lang w:val="en-US"/>
        </w:rPr>
        <w:t xml:space="preserve"> i</w:t>
      </w:r>
      <w:r w:rsidR="00101523" w:rsidRPr="00C676F6">
        <w:rPr>
          <w:rFonts w:eastAsia="メイリオ" w:cs="MS PGothic" w:hint="eastAsia"/>
          <w:lang w:val="en-US"/>
        </w:rPr>
        <w:t>.</w:t>
      </w:r>
      <w:r w:rsidR="004222A8" w:rsidRPr="00C676F6">
        <w:rPr>
          <w:rFonts w:eastAsia="メイリオ" w:cs="MS PGothic"/>
          <w:lang w:val="en-US"/>
        </w:rPr>
        <w:t>e. the last line is let go from a berth, when the anchor is aweigh or a vessel has de-coupled from a SBM.</w:t>
      </w:r>
    </w:p>
    <w:p w:rsidR="00521077" w:rsidRPr="00C676F6" w:rsidRDefault="00521077" w:rsidP="00C174B6">
      <w:pPr>
        <w:spacing w:line="340" w:lineRule="exact"/>
        <w:ind w:left="360"/>
        <w:jc w:val="left"/>
        <w:rPr>
          <w:rFonts w:eastAsia="MS PGothic" w:cs="Arial" w:hint="eastAsia"/>
        </w:rPr>
      </w:pPr>
    </w:p>
    <w:p w:rsidR="00A32FCA" w:rsidRPr="00C676F6" w:rsidRDefault="00A32FCA" w:rsidP="00C174B6">
      <w:pPr>
        <w:numPr>
          <w:ilvl w:val="0"/>
          <w:numId w:val="11"/>
        </w:numPr>
        <w:spacing w:line="340" w:lineRule="exact"/>
        <w:jc w:val="left"/>
        <w:rPr>
          <w:rFonts w:eastAsia="MS PGothic" w:cs="Arial" w:hint="eastAsia"/>
        </w:rPr>
      </w:pPr>
      <w:r w:rsidRPr="00C676F6">
        <w:rPr>
          <w:rFonts w:cs="Arial" w:hint="eastAsia"/>
        </w:rPr>
        <w:t>This</w:t>
      </w:r>
      <w:r w:rsidR="006946AE" w:rsidRPr="00C676F6">
        <w:rPr>
          <w:rFonts w:cs="Arial" w:hint="eastAsia"/>
        </w:rPr>
        <w:t xml:space="preserve"> </w:t>
      </w:r>
      <w:r w:rsidR="005346E4" w:rsidRPr="00C676F6">
        <w:rPr>
          <w:rFonts w:cs="Arial" w:hint="eastAsia"/>
        </w:rPr>
        <w:t>2</w:t>
      </w:r>
      <w:r w:rsidR="00455EA7" w:rsidRPr="00C676F6">
        <w:rPr>
          <w:rFonts w:cs="Arial" w:hint="eastAsia"/>
        </w:rPr>
        <w:t>4th</w:t>
      </w:r>
      <w:r w:rsidR="00E87858" w:rsidRPr="00C676F6">
        <w:rPr>
          <w:rFonts w:cs="Arial" w:hint="eastAsia"/>
        </w:rPr>
        <w:t xml:space="preserve"> </w:t>
      </w:r>
      <w:r w:rsidRPr="00C676F6">
        <w:rPr>
          <w:rFonts w:cs="Arial" w:hint="eastAsia"/>
        </w:rPr>
        <w:t xml:space="preserve">revision </w:t>
      </w:r>
      <w:r w:rsidR="00A6256F" w:rsidRPr="00C676F6">
        <w:rPr>
          <w:rFonts w:cs="Arial" w:hint="eastAsia"/>
        </w:rPr>
        <w:t>of the IBF H</w:t>
      </w:r>
      <w:r w:rsidR="00A6256F" w:rsidRPr="00C676F6">
        <w:rPr>
          <w:rFonts w:cs="Arial"/>
        </w:rPr>
        <w:t>i</w:t>
      </w:r>
      <w:r w:rsidR="00A6256F" w:rsidRPr="00C676F6">
        <w:rPr>
          <w:rFonts w:cs="Arial" w:hint="eastAsia"/>
        </w:rPr>
        <w:t xml:space="preserve">gh Risk Area </w:t>
      </w:r>
      <w:r w:rsidRPr="00C676F6">
        <w:rPr>
          <w:rFonts w:cs="Arial" w:hint="eastAsia"/>
        </w:rPr>
        <w:t xml:space="preserve">remains in force </w:t>
      </w:r>
      <w:r w:rsidR="00AF448B" w:rsidRPr="00C676F6">
        <w:rPr>
          <w:rFonts w:eastAsia="MS Gothic" w:cs="Arial"/>
        </w:rPr>
        <w:t>from 00</w:t>
      </w:r>
      <w:r w:rsidR="00AF448B" w:rsidRPr="00C676F6">
        <w:rPr>
          <w:rFonts w:eastAsia="MS Gothic" w:cs="Arial" w:hint="eastAsia"/>
        </w:rPr>
        <w:t>01Z</w:t>
      </w:r>
      <w:r w:rsidR="00F24D6B" w:rsidRPr="00C676F6">
        <w:rPr>
          <w:rFonts w:eastAsia="MS Gothic" w:cs="Arial" w:hint="eastAsia"/>
        </w:rPr>
        <w:t xml:space="preserve"> </w:t>
      </w:r>
      <w:r w:rsidR="00AF448B" w:rsidRPr="00C676F6">
        <w:rPr>
          <w:rFonts w:eastAsia="MS Gothic" w:cs="Arial"/>
        </w:rPr>
        <w:t xml:space="preserve">on </w:t>
      </w:r>
      <w:r w:rsidR="005346E4" w:rsidRPr="00C676F6">
        <w:rPr>
          <w:rFonts w:eastAsia="MS Gothic" w:cs="Arial"/>
        </w:rPr>
        <w:t>1</w:t>
      </w:r>
      <w:r w:rsidR="005346E4" w:rsidRPr="00C676F6">
        <w:rPr>
          <w:rFonts w:eastAsia="MS Gothic" w:cs="Arial"/>
          <w:vertAlign w:val="superscript"/>
        </w:rPr>
        <w:t>st</w:t>
      </w:r>
      <w:r w:rsidR="005346E4" w:rsidRPr="00C676F6">
        <w:rPr>
          <w:rFonts w:eastAsia="MS Gothic" w:cs="Arial"/>
        </w:rPr>
        <w:t xml:space="preserve"> </w:t>
      </w:r>
      <w:r w:rsidR="00455EA7" w:rsidRPr="00C676F6">
        <w:rPr>
          <w:rFonts w:eastAsia="MS Gothic" w:cs="Arial" w:hint="eastAsia"/>
        </w:rPr>
        <w:t>March</w:t>
      </w:r>
      <w:r w:rsidR="00AF448B" w:rsidRPr="00C676F6">
        <w:rPr>
          <w:rFonts w:eastAsia="MS Gothic" w:cs="Arial" w:hint="eastAsia"/>
        </w:rPr>
        <w:t xml:space="preserve"> </w:t>
      </w:r>
      <w:r w:rsidRPr="00C676F6">
        <w:rPr>
          <w:rFonts w:cs="Arial" w:hint="eastAsia"/>
        </w:rPr>
        <w:t>until</w:t>
      </w:r>
      <w:r w:rsidR="00CB4A88" w:rsidRPr="00C676F6">
        <w:rPr>
          <w:rFonts w:cs="Arial" w:hint="eastAsia"/>
        </w:rPr>
        <w:t xml:space="preserve"> 2400Z on</w:t>
      </w:r>
      <w:r w:rsidR="009D2A6C" w:rsidRPr="00C676F6">
        <w:rPr>
          <w:rFonts w:cs="Arial" w:hint="eastAsia"/>
        </w:rPr>
        <w:t xml:space="preserve"> </w:t>
      </w:r>
      <w:r w:rsidR="00455EA7" w:rsidRPr="00C676F6">
        <w:rPr>
          <w:rFonts w:cs="Arial" w:hint="eastAsia"/>
        </w:rPr>
        <w:t>17</w:t>
      </w:r>
      <w:r w:rsidR="005346E4" w:rsidRPr="00C676F6">
        <w:rPr>
          <w:rFonts w:cs="Arial"/>
          <w:vertAlign w:val="superscript"/>
        </w:rPr>
        <w:t>th</w:t>
      </w:r>
      <w:r w:rsidR="005346E4" w:rsidRPr="00C676F6">
        <w:rPr>
          <w:rFonts w:cs="Arial"/>
        </w:rPr>
        <w:t xml:space="preserve"> </w:t>
      </w:r>
      <w:r w:rsidR="00455EA7" w:rsidRPr="00C676F6">
        <w:rPr>
          <w:rFonts w:cs="Arial" w:hint="eastAsia"/>
        </w:rPr>
        <w:t>March</w:t>
      </w:r>
      <w:r w:rsidR="00BA2A35" w:rsidRPr="00C676F6">
        <w:rPr>
          <w:rFonts w:cs="Arial" w:hint="eastAsia"/>
        </w:rPr>
        <w:t xml:space="preserve"> 201</w:t>
      </w:r>
      <w:r w:rsidR="00FC40FC" w:rsidRPr="00C676F6">
        <w:rPr>
          <w:rFonts w:cs="Arial" w:hint="eastAsia"/>
        </w:rPr>
        <w:t>1</w:t>
      </w:r>
      <w:r w:rsidR="00BA2A35" w:rsidRPr="00C676F6">
        <w:rPr>
          <w:rFonts w:cs="Arial" w:hint="eastAsia"/>
        </w:rPr>
        <w:t>.</w:t>
      </w:r>
    </w:p>
    <w:p w:rsidR="00A32FCA" w:rsidRPr="00C676F6" w:rsidRDefault="00A32FCA" w:rsidP="00C174B6">
      <w:pPr>
        <w:spacing w:line="340" w:lineRule="exact"/>
        <w:jc w:val="left"/>
        <w:rPr>
          <w:rFonts w:eastAsia="MS PGothic" w:cs="Arial"/>
        </w:rPr>
      </w:pPr>
    </w:p>
    <w:p w:rsidR="00965631" w:rsidRPr="00C676F6" w:rsidRDefault="00A32FCA" w:rsidP="00C174B6">
      <w:pPr>
        <w:numPr>
          <w:ilvl w:val="0"/>
          <w:numId w:val="11"/>
        </w:numPr>
        <w:spacing w:line="340" w:lineRule="exact"/>
        <w:jc w:val="left"/>
        <w:rPr>
          <w:rFonts w:eastAsia="MS PGothic" w:cs="Arial" w:hint="eastAsia"/>
        </w:rPr>
      </w:pPr>
      <w:r w:rsidRPr="00C676F6">
        <w:rPr>
          <w:rFonts w:eastAsia="MS PGothic" w:cs="Arial"/>
        </w:rPr>
        <w:t>The</w:t>
      </w:r>
      <w:r w:rsidRPr="00C676F6">
        <w:rPr>
          <w:rFonts w:eastAsia="MS PGothic" w:cs="Arial" w:hint="eastAsia"/>
        </w:rPr>
        <w:t xml:space="preserve"> situation will be reviewed between JNG and ITF </w:t>
      </w:r>
      <w:r w:rsidR="00E87858" w:rsidRPr="00C676F6">
        <w:rPr>
          <w:rFonts w:eastAsia="MS PGothic" w:cs="Arial" w:hint="eastAsia"/>
        </w:rPr>
        <w:t xml:space="preserve">before </w:t>
      </w:r>
      <w:r w:rsidR="00455EA7" w:rsidRPr="00C676F6">
        <w:rPr>
          <w:rFonts w:cs="Arial" w:hint="eastAsia"/>
        </w:rPr>
        <w:t>17</w:t>
      </w:r>
      <w:r w:rsidR="005346E4" w:rsidRPr="00C676F6">
        <w:rPr>
          <w:rFonts w:cs="Arial"/>
          <w:vertAlign w:val="superscript"/>
        </w:rPr>
        <w:t>th</w:t>
      </w:r>
      <w:r w:rsidR="005346E4" w:rsidRPr="00C676F6">
        <w:rPr>
          <w:rFonts w:cs="Arial"/>
        </w:rPr>
        <w:t xml:space="preserve"> </w:t>
      </w:r>
      <w:r w:rsidR="00455EA7" w:rsidRPr="00C676F6">
        <w:rPr>
          <w:rFonts w:cs="Arial" w:hint="eastAsia"/>
        </w:rPr>
        <w:t>March</w:t>
      </w:r>
      <w:r w:rsidR="00FC40FC" w:rsidRPr="00C676F6">
        <w:rPr>
          <w:rFonts w:cs="Arial" w:hint="eastAsia"/>
        </w:rPr>
        <w:t xml:space="preserve"> 2011</w:t>
      </w:r>
      <w:r w:rsidR="00E87858" w:rsidRPr="00C676F6">
        <w:rPr>
          <w:rFonts w:cs="Arial" w:hint="eastAsia"/>
        </w:rPr>
        <w:t>.</w:t>
      </w:r>
    </w:p>
    <w:p w:rsidR="00965631" w:rsidRPr="00C676F6" w:rsidRDefault="00965631" w:rsidP="00E273A5">
      <w:pPr>
        <w:widowControl/>
        <w:spacing w:line="320" w:lineRule="exact"/>
        <w:jc w:val="left"/>
        <w:rPr>
          <w:rFonts w:eastAsia="メイリオ" w:cs="MS PGothic" w:hint="eastAsia"/>
        </w:rPr>
      </w:pPr>
    </w:p>
    <w:p w:rsidR="00A32FCA" w:rsidRPr="00C676F6" w:rsidRDefault="00A32FCA" w:rsidP="00E273A5">
      <w:pPr>
        <w:widowControl/>
        <w:spacing w:line="320" w:lineRule="exact"/>
        <w:jc w:val="left"/>
        <w:rPr>
          <w:rFonts w:eastAsia="メイリオ" w:cs="MS PGothic" w:hint="eastAsia"/>
        </w:rPr>
      </w:pPr>
    </w:p>
    <w:p w:rsidR="00A6256F" w:rsidRPr="00C676F6" w:rsidRDefault="00A6256F" w:rsidP="00E273A5">
      <w:pPr>
        <w:widowControl/>
        <w:spacing w:line="320" w:lineRule="exact"/>
        <w:jc w:val="left"/>
        <w:rPr>
          <w:rFonts w:eastAsia="メイリオ" w:cs="MS PGothic" w:hint="eastAsia"/>
        </w:rPr>
      </w:pPr>
    </w:p>
    <w:p w:rsidR="00A6256F" w:rsidRPr="00C676F6" w:rsidRDefault="00A6256F" w:rsidP="00E273A5">
      <w:pPr>
        <w:widowControl/>
        <w:spacing w:line="320" w:lineRule="exact"/>
        <w:jc w:val="left"/>
        <w:rPr>
          <w:rFonts w:eastAsia="メイリオ" w:cs="MS PGothic" w:hint="eastAsia"/>
        </w:rPr>
      </w:pPr>
    </w:p>
    <w:p w:rsidR="00A6256F" w:rsidRPr="00C676F6" w:rsidRDefault="00A6256F" w:rsidP="00E273A5">
      <w:pPr>
        <w:widowControl/>
        <w:spacing w:line="320" w:lineRule="exact"/>
        <w:jc w:val="left"/>
        <w:rPr>
          <w:rFonts w:eastAsia="メイリオ" w:cs="MS PGothic" w:hint="eastAsia"/>
        </w:rPr>
      </w:pPr>
    </w:p>
    <w:p w:rsidR="00A6256F" w:rsidRPr="00C676F6" w:rsidRDefault="00A6256F" w:rsidP="00E273A5">
      <w:pPr>
        <w:widowControl/>
        <w:spacing w:line="320" w:lineRule="exact"/>
        <w:jc w:val="left"/>
        <w:rPr>
          <w:rFonts w:eastAsia="メイリオ" w:cs="MS PGothic" w:hint="eastAsia"/>
        </w:rPr>
      </w:pPr>
    </w:p>
    <w:p w:rsidR="007D1609" w:rsidRPr="00C676F6" w:rsidRDefault="00C676F6" w:rsidP="00E273A5">
      <w:pPr>
        <w:widowControl/>
        <w:spacing w:line="320" w:lineRule="exact"/>
        <w:jc w:val="left"/>
        <w:rPr>
          <w:rFonts w:eastAsia="メイリオ" w:cs="MS PGothic"/>
          <w:i/>
        </w:rPr>
        <w:sectPr w:rsidR="007D1609" w:rsidRPr="00C676F6" w:rsidSect="0004664D">
          <w:pgSz w:w="11906" w:h="16838"/>
          <w:pgMar w:top="1985" w:right="1701" w:bottom="1701" w:left="1701" w:header="851" w:footer="992" w:gutter="0"/>
          <w:cols w:space="425"/>
          <w:docGrid w:type="lines" w:linePitch="360"/>
        </w:sectPr>
      </w:pPr>
      <w:r w:rsidRPr="00C676F6">
        <w:rPr>
          <w:rFonts w:eastAsia="メイリオ" w:cs="MS PGothic" w:hint="eastAsia"/>
          <w:i/>
        </w:rPr>
        <w:t>gh</w:t>
      </w:r>
    </w:p>
    <w:p w:rsidR="00965631" w:rsidRPr="00C676F6" w:rsidRDefault="00A32FCA" w:rsidP="00A32FCA">
      <w:pPr>
        <w:widowControl/>
        <w:spacing w:line="320" w:lineRule="exact"/>
        <w:jc w:val="right"/>
        <w:rPr>
          <w:rFonts w:eastAsia="メイリオ" w:cs="MS PGothic" w:hint="eastAsia"/>
          <w:b/>
        </w:rPr>
      </w:pPr>
      <w:r w:rsidRPr="00C676F6">
        <w:rPr>
          <w:rFonts w:eastAsia="メイリオ" w:cs="MS PGothic" w:hint="eastAsia"/>
          <w:b/>
        </w:rPr>
        <w:lastRenderedPageBreak/>
        <w:t>Annex</w:t>
      </w:r>
    </w:p>
    <w:p w:rsidR="00A32FCA" w:rsidRPr="00C676F6" w:rsidRDefault="00A32FCA" w:rsidP="00E273A5">
      <w:pPr>
        <w:widowControl/>
        <w:spacing w:line="320" w:lineRule="exact"/>
        <w:jc w:val="left"/>
        <w:rPr>
          <w:rFonts w:eastAsia="メイリオ" w:cs="MS PGothic" w:hint="eastAsia"/>
        </w:rPr>
      </w:pPr>
    </w:p>
    <w:p w:rsidR="001C483F" w:rsidRPr="00C676F6" w:rsidRDefault="001C483F" w:rsidP="001C483F">
      <w:pPr>
        <w:widowControl/>
        <w:spacing w:line="320" w:lineRule="exact"/>
        <w:jc w:val="center"/>
        <w:rPr>
          <w:rFonts w:cs="Arial" w:hint="eastAsia"/>
          <w:b/>
        </w:rPr>
      </w:pPr>
      <w:r w:rsidRPr="00C676F6">
        <w:rPr>
          <w:rFonts w:cs="Arial" w:hint="eastAsia"/>
          <w:b/>
        </w:rPr>
        <w:t xml:space="preserve">IBF High Risk Area effective from </w:t>
      </w:r>
      <w:r w:rsidR="005346E4" w:rsidRPr="00C676F6">
        <w:rPr>
          <w:rFonts w:cs="Arial"/>
          <w:b/>
        </w:rPr>
        <w:t>1</w:t>
      </w:r>
      <w:r w:rsidR="005346E4" w:rsidRPr="00C676F6">
        <w:rPr>
          <w:rFonts w:cs="Arial"/>
          <w:b/>
          <w:vertAlign w:val="superscript"/>
        </w:rPr>
        <w:t>st</w:t>
      </w:r>
      <w:r w:rsidR="005346E4" w:rsidRPr="00C676F6">
        <w:rPr>
          <w:rFonts w:cs="Arial"/>
          <w:b/>
        </w:rPr>
        <w:t xml:space="preserve"> </w:t>
      </w:r>
      <w:r w:rsidR="00455EA7" w:rsidRPr="00C676F6">
        <w:rPr>
          <w:rFonts w:cs="Arial" w:hint="eastAsia"/>
          <w:b/>
        </w:rPr>
        <w:t>March</w:t>
      </w:r>
      <w:r w:rsidR="005346E4" w:rsidRPr="00C676F6">
        <w:rPr>
          <w:rFonts w:cs="Arial"/>
          <w:b/>
        </w:rPr>
        <w:t xml:space="preserve"> to</w:t>
      </w:r>
      <w:r w:rsidR="00E87858" w:rsidRPr="00C676F6">
        <w:rPr>
          <w:rFonts w:cs="Arial" w:hint="eastAsia"/>
          <w:b/>
        </w:rPr>
        <w:t xml:space="preserve"> </w:t>
      </w:r>
      <w:r w:rsidR="00455EA7" w:rsidRPr="00C676F6">
        <w:rPr>
          <w:rFonts w:cs="Arial" w:hint="eastAsia"/>
          <w:b/>
        </w:rPr>
        <w:t>17</w:t>
      </w:r>
      <w:r w:rsidR="005346E4" w:rsidRPr="00C676F6">
        <w:rPr>
          <w:rFonts w:cs="Arial"/>
          <w:b/>
          <w:vertAlign w:val="superscript"/>
        </w:rPr>
        <w:t>th</w:t>
      </w:r>
      <w:r w:rsidR="005346E4" w:rsidRPr="00C676F6">
        <w:rPr>
          <w:rFonts w:cs="Arial"/>
          <w:b/>
        </w:rPr>
        <w:t xml:space="preserve"> </w:t>
      </w:r>
      <w:r w:rsidR="00455EA7" w:rsidRPr="00C676F6">
        <w:rPr>
          <w:rFonts w:cs="Arial" w:hint="eastAsia"/>
          <w:b/>
        </w:rPr>
        <w:t>March</w:t>
      </w:r>
      <w:r w:rsidR="00FC40FC" w:rsidRPr="00C676F6">
        <w:rPr>
          <w:rFonts w:cs="Arial" w:hint="eastAsia"/>
          <w:b/>
        </w:rPr>
        <w:t xml:space="preserve"> 2011</w:t>
      </w:r>
    </w:p>
    <w:p w:rsidR="00185E37" w:rsidRPr="00C676F6" w:rsidRDefault="00185E37" w:rsidP="00185E37">
      <w:pPr>
        <w:widowControl/>
        <w:spacing w:line="320" w:lineRule="exact"/>
        <w:jc w:val="center"/>
        <w:rPr>
          <w:rFonts w:eastAsia="メイリオ" w:cs="MS PGothic" w:hint="eastAsia"/>
        </w:rPr>
      </w:pPr>
    </w:p>
    <w:p w:rsidR="00B306E0" w:rsidRPr="00C676F6" w:rsidRDefault="00B306E0" w:rsidP="00B306E0">
      <w:pPr>
        <w:widowControl/>
        <w:spacing w:line="320" w:lineRule="exact"/>
        <w:jc w:val="left"/>
        <w:rPr>
          <w:rFonts w:eastAsia="メイリオ" w:cs="MS PGothic"/>
        </w:rPr>
      </w:pPr>
    </w:p>
    <w:p w:rsidR="002C1CB8" w:rsidRPr="00C676F6" w:rsidRDefault="002C1CB8" w:rsidP="002F7185">
      <w:pPr>
        <w:jc w:val="left"/>
        <w:rPr>
          <w:rFonts w:hint="eastAsia"/>
          <w:lang w:val="en-US"/>
        </w:rPr>
      </w:pPr>
    </w:p>
    <w:p w:rsidR="002C1CB8" w:rsidRPr="00F146B7" w:rsidRDefault="00034618" w:rsidP="002F7185">
      <w:pPr>
        <w:jc w:val="left"/>
        <w:rPr>
          <w:lang w:val="en-US"/>
        </w:rPr>
      </w:pPr>
      <w:r>
        <w:rPr>
          <w:noProof/>
          <w:lang w:val="en-US" w:eastAsia="ko-KR"/>
        </w:rPr>
        <w:drawing>
          <wp:inline distT="0" distB="0" distL="0" distR="0">
            <wp:extent cx="5615559" cy="3745230"/>
            <wp:effectExtent l="6096" t="0" r="0" b="0"/>
            <wp:docPr id="1" name="オブジェクト 6"/>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58246" cy="5577812"/>
                      <a:chOff x="642910" y="642918"/>
                      <a:chExt cx="8358246" cy="5577812"/>
                    </a:xfrm>
                  </a:grpSpPr>
                  <a:pic>
                    <a:nvPicPr>
                      <a:cNvPr id="1026" name="Picture 2"/>
                      <a:cNvPicPr>
                        <a:picLocks noChangeAspect="1" noChangeArrowheads="1"/>
                      </a:cNvPicPr>
                    </a:nvPicPr>
                    <a:blipFill>
                      <a:blip r:embed="rId7"/>
                      <a:srcRect/>
                      <a:stretch>
                        <a:fillRect/>
                      </a:stretch>
                    </a:blipFill>
                    <a:spPr bwMode="auto">
                      <a:xfrm>
                        <a:off x="642910" y="785794"/>
                        <a:ext cx="6038850" cy="5324475"/>
                      </a:xfrm>
                      <a:prstGeom prst="rect">
                        <a:avLst/>
                      </a:prstGeom>
                      <a:noFill/>
                      <a:ln w="9525">
                        <a:noFill/>
                        <a:miter lim="800000"/>
                        <a:headEnd/>
                        <a:tailEnd/>
                      </a:ln>
                      <a:effectLst/>
                    </a:spPr>
                  </a:pic>
                  <a:cxnSp>
                    <a:nvCxnSpPr>
                      <a:cNvPr id="8" name="Straight Arrow Connector 7"/>
                      <a:cNvCxnSpPr/>
                    </a:nvCxnSpPr>
                    <a:spPr>
                      <a:xfrm rot="10800000" flipV="1">
                        <a:off x="4000496" y="1643050"/>
                        <a:ext cx="3214710" cy="142876"/>
                      </a:xfrm>
                      <a:prstGeom prst="straightConnector1">
                        <a:avLst/>
                      </a:prstGeom>
                      <a:ln>
                        <a:solidFill>
                          <a:srgbClr val="FF0000"/>
                        </a:solidFill>
                        <a:tailEnd type="arrow"/>
                      </a:ln>
                    </a:spPr>
                    <a:style>
                      <a:lnRef idx="1">
                        <a:schemeClr val="accent1"/>
                      </a:lnRef>
                      <a:fillRef idx="0">
                        <a:schemeClr val="accent1"/>
                      </a:fillRef>
                      <a:effectRef idx="0">
                        <a:schemeClr val="accent1"/>
                      </a:effectRef>
                      <a:fontRef idx="minor">
                        <a:schemeClr val="tx1"/>
                      </a:fontRef>
                    </a:style>
                  </a:cxnSp>
                  <a:cxnSp>
                    <a:nvCxnSpPr>
                      <a:cNvPr id="10" name="Straight Arrow Connector 9"/>
                      <a:cNvCxnSpPr>
                        <a:stCxn id="21" idx="1"/>
                      </a:cNvCxnSpPr>
                    </a:nvCxnSpPr>
                    <a:spPr>
                      <a:xfrm rot="10800000">
                        <a:off x="4429124" y="3000375"/>
                        <a:ext cx="2428892" cy="681483"/>
                      </a:xfrm>
                      <a:prstGeom prst="straightConnector1">
                        <a:avLst/>
                      </a:prstGeom>
                      <a:ln>
                        <a:solidFill>
                          <a:srgbClr val="FF0000"/>
                        </a:solidFill>
                        <a:tailEnd type="arrow"/>
                      </a:ln>
                    </a:spPr>
                    <a:style>
                      <a:lnRef idx="1">
                        <a:schemeClr val="accent1"/>
                      </a:lnRef>
                      <a:fillRef idx="0">
                        <a:schemeClr val="accent1"/>
                      </a:fillRef>
                      <a:effectRef idx="0">
                        <a:schemeClr val="accent1"/>
                      </a:effectRef>
                      <a:fontRef idx="minor">
                        <a:schemeClr val="tx1"/>
                      </a:fontRef>
                    </a:style>
                  </a:cxnSp>
                  <a:cxnSp>
                    <a:nvCxnSpPr>
                      <a:cNvPr id="13" name="Straight Arrow Connector 12"/>
                      <a:cNvCxnSpPr/>
                    </a:nvCxnSpPr>
                    <a:spPr>
                      <a:xfrm rot="10800000" flipV="1">
                        <a:off x="4071934" y="1000108"/>
                        <a:ext cx="2928958" cy="571504"/>
                      </a:xfrm>
                      <a:prstGeom prst="straightConnector1">
                        <a:avLst/>
                      </a:prstGeom>
                      <a:ln>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18" name="Straight Arrow Connector 17"/>
                      <a:cNvCxnSpPr/>
                    </a:nvCxnSpPr>
                    <a:spPr>
                      <a:xfrm rot="10800000">
                        <a:off x="3214678" y="5357826"/>
                        <a:ext cx="3643338" cy="71438"/>
                      </a:xfrm>
                      <a:prstGeom prst="straightConnector1">
                        <a:avLst/>
                      </a:prstGeom>
                      <a:ln>
                        <a:solidFill>
                          <a:srgbClr val="FF0000"/>
                        </a:solidFill>
                        <a:tailEnd type="arrow"/>
                      </a:ln>
                    </a:spPr>
                    <a:style>
                      <a:lnRef idx="1">
                        <a:schemeClr val="accent1"/>
                      </a:lnRef>
                      <a:fillRef idx="0">
                        <a:schemeClr val="accent1"/>
                      </a:fillRef>
                      <a:effectRef idx="0">
                        <a:schemeClr val="accent1"/>
                      </a:effectRef>
                      <a:fontRef idx="minor">
                        <a:schemeClr val="tx1"/>
                      </a:fontRef>
                    </a:style>
                  </a:cxnSp>
                  <a:sp>
                    <a:nvSpPr>
                      <a:cNvPr id="19" name="TextBox 18"/>
                      <a:cNvSpPr txBox="1"/>
                    </a:nvSpPr>
                    <a:spPr>
                      <a:xfrm>
                        <a:off x="7000892" y="642918"/>
                        <a:ext cx="1428760" cy="33855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600" dirty="0" smtClean="0">
                              <a:latin typeface="Arial" pitchFamily="34" charset="0"/>
                              <a:cs typeface="Arial" pitchFamily="34" charset="0"/>
                            </a:rPr>
                            <a:t>IRTC</a:t>
                          </a:r>
                          <a:endParaRPr lang="en-US" sz="1600" dirty="0">
                            <a:latin typeface="Arial" pitchFamily="34" charset="0"/>
                            <a:cs typeface="Arial" pitchFamily="34" charset="0"/>
                          </a:endParaRPr>
                        </a:p>
                      </a:txBody>
                      <a:useSpRect/>
                    </a:txSp>
                  </a:sp>
                  <a:sp>
                    <a:nvSpPr>
                      <a:cNvPr id="20" name="TextBox 19"/>
                      <a:cNvSpPr txBox="1"/>
                    </a:nvSpPr>
                    <a:spPr>
                      <a:xfrm>
                        <a:off x="7215206" y="1285860"/>
                        <a:ext cx="1643074" cy="584775"/>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600" dirty="0" smtClean="0">
                              <a:latin typeface="Arial" pitchFamily="34" charset="0"/>
                              <a:cs typeface="Arial" pitchFamily="34" charset="0"/>
                            </a:rPr>
                            <a:t>Pre-existing High Risk Area</a:t>
                          </a:r>
                          <a:endParaRPr lang="en-US" sz="1600" dirty="0">
                            <a:latin typeface="Arial" pitchFamily="34" charset="0"/>
                            <a:cs typeface="Arial" pitchFamily="34" charset="0"/>
                          </a:endParaRPr>
                        </a:p>
                      </a:txBody>
                      <a:useSpRect/>
                    </a:txSp>
                  </a:sp>
                  <a:sp>
                    <a:nvSpPr>
                      <a:cNvPr id="21" name="TextBox 20"/>
                      <a:cNvSpPr txBox="1"/>
                    </a:nvSpPr>
                    <a:spPr>
                      <a:xfrm>
                        <a:off x="6858016" y="3143248"/>
                        <a:ext cx="2071670" cy="1077218"/>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600" dirty="0" smtClean="0">
                              <a:latin typeface="Arial" pitchFamily="34" charset="0"/>
                              <a:cs typeface="Arial" pitchFamily="34" charset="0"/>
                            </a:rPr>
                            <a:t>New High Risk Area, maintains distance of 400 nautical miles from coast.</a:t>
                          </a:r>
                          <a:endParaRPr lang="en-US" sz="1600" dirty="0">
                            <a:latin typeface="Arial" pitchFamily="34" charset="0"/>
                            <a:cs typeface="Arial" pitchFamily="34" charset="0"/>
                          </a:endParaRPr>
                        </a:p>
                      </a:txBody>
                      <a:useSpRect/>
                    </a:txSp>
                  </a:sp>
                  <a:sp>
                    <a:nvSpPr>
                      <a:cNvPr id="22" name="TextBox 21"/>
                      <a:cNvSpPr txBox="1"/>
                    </a:nvSpPr>
                    <a:spPr>
                      <a:xfrm>
                        <a:off x="6858016" y="5143512"/>
                        <a:ext cx="2143140" cy="1077218"/>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600" dirty="0" smtClean="0">
                              <a:latin typeface="Arial" pitchFamily="34" charset="0"/>
                              <a:cs typeface="Arial" pitchFamily="34" charset="0"/>
                            </a:rPr>
                            <a:t>400 nautical miles due East of Somali/Kenyan border</a:t>
                          </a:r>
                          <a:endParaRPr lang="en-US" sz="1600" dirty="0">
                            <a:latin typeface="Arial" pitchFamily="34" charset="0"/>
                            <a:cs typeface="Arial" pitchFamily="34" charset="0"/>
                          </a:endParaRPr>
                        </a:p>
                      </a:txBody>
                      <a:useSpRect/>
                    </a:txSp>
                  </a:sp>
                  <a:cxnSp>
                    <a:nvCxnSpPr>
                      <a:cNvPr id="24" name="Straight Arrow Connector 23"/>
                      <a:cNvCxnSpPr>
                        <a:stCxn id="25" idx="1"/>
                      </a:cNvCxnSpPr>
                    </a:nvCxnSpPr>
                    <a:spPr>
                      <a:xfrm rot="10800000">
                        <a:off x="5429256" y="1928807"/>
                        <a:ext cx="1714512" cy="558371"/>
                      </a:xfrm>
                      <a:prstGeom prst="straightConnector1">
                        <a:avLst/>
                      </a:prstGeom>
                      <a:ln>
                        <a:solidFill>
                          <a:srgbClr val="FF0000"/>
                        </a:solidFill>
                        <a:tailEnd type="arrow"/>
                      </a:ln>
                    </a:spPr>
                    <a:style>
                      <a:lnRef idx="1">
                        <a:schemeClr val="accent1"/>
                      </a:lnRef>
                      <a:fillRef idx="0">
                        <a:schemeClr val="accent1"/>
                      </a:fillRef>
                      <a:effectRef idx="0">
                        <a:schemeClr val="accent1"/>
                      </a:effectRef>
                      <a:fontRef idx="minor">
                        <a:schemeClr val="tx1"/>
                      </a:fontRef>
                    </a:style>
                  </a:cxnSp>
                  <a:sp>
                    <a:nvSpPr>
                      <a:cNvPr id="25" name="TextBox 24"/>
                      <a:cNvSpPr txBox="1"/>
                    </a:nvSpPr>
                    <a:spPr>
                      <a:xfrm>
                        <a:off x="7143768" y="2071678"/>
                        <a:ext cx="1643074" cy="830997"/>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sz="1600" dirty="0" smtClean="0">
                              <a:latin typeface="Arial" pitchFamily="34" charset="0"/>
                              <a:cs typeface="Arial" pitchFamily="34" charset="0"/>
                            </a:rPr>
                            <a:t>205 nautical miles due east of </a:t>
                          </a:r>
                          <a:r>
                            <a:rPr lang="en-GB" sz="1600" dirty="0" err="1" smtClean="0">
                              <a:latin typeface="Arial" pitchFamily="34" charset="0"/>
                              <a:cs typeface="Arial" pitchFamily="34" charset="0"/>
                            </a:rPr>
                            <a:t>Suqutra</a:t>
                          </a:r>
                          <a:endParaRPr lang="en-US" sz="1600" dirty="0">
                            <a:latin typeface="Arial" pitchFamily="34" charset="0"/>
                            <a:cs typeface="Arial" pitchFamily="34" charset="0"/>
                          </a:endParaRPr>
                        </a:p>
                      </a:txBody>
                      <a:useSpRect/>
                    </a:txSp>
                  </a:sp>
                </lc:lockedCanvas>
              </a:graphicData>
            </a:graphic>
          </wp:inline>
        </w:drawing>
      </w:r>
    </w:p>
    <w:sectPr w:rsidR="002C1CB8" w:rsidRPr="00F146B7" w:rsidSect="0004664D">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3B5" w:rsidRDefault="00FE53B5" w:rsidP="00FA4F66">
      <w:r>
        <w:separator/>
      </w:r>
    </w:p>
  </w:endnote>
  <w:endnote w:type="continuationSeparator" w:id="0">
    <w:p w:rsidR="00FE53B5" w:rsidRDefault="00FE53B5" w:rsidP="00FA4F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メイリオ">
    <w:altName w:val="Meiryo UI"/>
    <w:charset w:val="80"/>
    <w:family w:val="modern"/>
    <w:pitch w:val="variable"/>
    <w:sig w:usb0="00000000" w:usb1="EAC7FFFF" w:usb2="00010012" w:usb3="00000000" w:csb0="0002009F" w:csb1="00000000"/>
  </w:font>
  <w:font w:name="MS PGothic">
    <w:panose1 w:val="020B0600070205080204"/>
    <w:charset w:val="80"/>
    <w:family w:val="swiss"/>
    <w:pitch w:val="variable"/>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3B5" w:rsidRDefault="00FE53B5" w:rsidP="00FA4F66">
      <w:r>
        <w:separator/>
      </w:r>
    </w:p>
  </w:footnote>
  <w:footnote w:type="continuationSeparator" w:id="0">
    <w:p w:rsidR="00FE53B5" w:rsidRDefault="00FE53B5" w:rsidP="00FA4F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13A5C"/>
    <w:multiLevelType w:val="multilevel"/>
    <w:tmpl w:val="3D16E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624A0A"/>
    <w:multiLevelType w:val="multilevel"/>
    <w:tmpl w:val="5CD02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286157"/>
    <w:multiLevelType w:val="hybridMultilevel"/>
    <w:tmpl w:val="EB469C34"/>
    <w:lvl w:ilvl="0" w:tplc="1E6EC53A">
      <w:start w:val="1"/>
      <w:numFmt w:val="decimal"/>
      <w:lvlText w:val="%1."/>
      <w:lvlJc w:val="left"/>
      <w:pPr>
        <w:ind w:left="360" w:hanging="360"/>
      </w:pPr>
      <w:rPr>
        <w:rFonts w:eastAsia="メイリオ" w:cs="MS PGothic"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FD05238"/>
    <w:multiLevelType w:val="hybridMultilevel"/>
    <w:tmpl w:val="F954C3BE"/>
    <w:lvl w:ilvl="0" w:tplc="3E049F3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6160BD0"/>
    <w:multiLevelType w:val="hybridMultilevel"/>
    <w:tmpl w:val="DE18C5C8"/>
    <w:lvl w:ilvl="0" w:tplc="E6A0456E">
      <w:start w:val="1"/>
      <w:numFmt w:val="upperLetter"/>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5">
    <w:nsid w:val="1BE674A0"/>
    <w:multiLevelType w:val="multilevel"/>
    <w:tmpl w:val="C97672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4D5A8F"/>
    <w:multiLevelType w:val="hybridMultilevel"/>
    <w:tmpl w:val="DC54213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2683167E"/>
    <w:multiLevelType w:val="multilevel"/>
    <w:tmpl w:val="10CCD8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0968B4"/>
    <w:multiLevelType w:val="hybridMultilevel"/>
    <w:tmpl w:val="4C2C89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A916831"/>
    <w:multiLevelType w:val="hybridMultilevel"/>
    <w:tmpl w:val="FC74A948"/>
    <w:lvl w:ilvl="0" w:tplc="33220CA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56D02280"/>
    <w:multiLevelType w:val="multilevel"/>
    <w:tmpl w:val="95F8EA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404090A"/>
    <w:multiLevelType w:val="multilevel"/>
    <w:tmpl w:val="F72025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665676"/>
    <w:multiLevelType w:val="hybridMultilevel"/>
    <w:tmpl w:val="6164A0E6"/>
    <w:lvl w:ilvl="0" w:tplc="42E23F7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7"/>
  </w:num>
  <w:num w:numId="3">
    <w:abstractNumId w:val="5"/>
  </w:num>
  <w:num w:numId="4">
    <w:abstractNumId w:val="9"/>
  </w:num>
  <w:num w:numId="5">
    <w:abstractNumId w:val="6"/>
  </w:num>
  <w:num w:numId="6">
    <w:abstractNumId w:val="1"/>
  </w:num>
  <w:num w:numId="7">
    <w:abstractNumId w:val="11"/>
  </w:num>
  <w:num w:numId="8">
    <w:abstractNumId w:val="10"/>
  </w:num>
  <w:num w:numId="9">
    <w:abstractNumId w:val="12"/>
  </w:num>
  <w:num w:numId="10">
    <w:abstractNumId w:val="3"/>
  </w:num>
  <w:num w:numId="11">
    <w:abstractNumId w:val="2"/>
  </w:num>
  <w:num w:numId="12">
    <w:abstractNumId w:val="4"/>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D0D36"/>
    <w:rsid w:val="000310B0"/>
    <w:rsid w:val="00034618"/>
    <w:rsid w:val="00044AC4"/>
    <w:rsid w:val="0004664D"/>
    <w:rsid w:val="0004708E"/>
    <w:rsid w:val="00052AB3"/>
    <w:rsid w:val="00052BDC"/>
    <w:rsid w:val="00072115"/>
    <w:rsid w:val="00097061"/>
    <w:rsid w:val="000971FE"/>
    <w:rsid w:val="000A0C7B"/>
    <w:rsid w:val="000A1983"/>
    <w:rsid w:val="000A440C"/>
    <w:rsid w:val="000B2905"/>
    <w:rsid w:val="000C5DA3"/>
    <w:rsid w:val="000D0F76"/>
    <w:rsid w:val="000E436A"/>
    <w:rsid w:val="00101523"/>
    <w:rsid w:val="001513B0"/>
    <w:rsid w:val="001719A2"/>
    <w:rsid w:val="00176940"/>
    <w:rsid w:val="00177A5B"/>
    <w:rsid w:val="00185E37"/>
    <w:rsid w:val="00187FB4"/>
    <w:rsid w:val="001A29DF"/>
    <w:rsid w:val="001B57B6"/>
    <w:rsid w:val="001C483F"/>
    <w:rsid w:val="001D5ACF"/>
    <w:rsid w:val="001E0B7E"/>
    <w:rsid w:val="001F1653"/>
    <w:rsid w:val="0021104B"/>
    <w:rsid w:val="00240C00"/>
    <w:rsid w:val="00265CB2"/>
    <w:rsid w:val="002959F7"/>
    <w:rsid w:val="002B4A01"/>
    <w:rsid w:val="002B6D67"/>
    <w:rsid w:val="002C1CB8"/>
    <w:rsid w:val="002C340E"/>
    <w:rsid w:val="002D650B"/>
    <w:rsid w:val="002F44B7"/>
    <w:rsid w:val="002F7185"/>
    <w:rsid w:val="00300B3E"/>
    <w:rsid w:val="00300B49"/>
    <w:rsid w:val="00304914"/>
    <w:rsid w:val="00307D83"/>
    <w:rsid w:val="003342CA"/>
    <w:rsid w:val="00340B49"/>
    <w:rsid w:val="003420E1"/>
    <w:rsid w:val="00344835"/>
    <w:rsid w:val="00356F8B"/>
    <w:rsid w:val="00386F6E"/>
    <w:rsid w:val="003B3818"/>
    <w:rsid w:val="003C7818"/>
    <w:rsid w:val="003D0D36"/>
    <w:rsid w:val="003D53A6"/>
    <w:rsid w:val="003F0E32"/>
    <w:rsid w:val="004064D2"/>
    <w:rsid w:val="004222A8"/>
    <w:rsid w:val="00451483"/>
    <w:rsid w:val="00455EA7"/>
    <w:rsid w:val="0046281C"/>
    <w:rsid w:val="00465E4F"/>
    <w:rsid w:val="004A7473"/>
    <w:rsid w:val="004D1D67"/>
    <w:rsid w:val="004F7DB6"/>
    <w:rsid w:val="00506A45"/>
    <w:rsid w:val="00513F32"/>
    <w:rsid w:val="0051689A"/>
    <w:rsid w:val="00521077"/>
    <w:rsid w:val="00523BDF"/>
    <w:rsid w:val="00530A18"/>
    <w:rsid w:val="005346E4"/>
    <w:rsid w:val="00536A86"/>
    <w:rsid w:val="00540854"/>
    <w:rsid w:val="00542E3A"/>
    <w:rsid w:val="00553345"/>
    <w:rsid w:val="00555DFA"/>
    <w:rsid w:val="005622CE"/>
    <w:rsid w:val="0056558B"/>
    <w:rsid w:val="0057496C"/>
    <w:rsid w:val="00574A75"/>
    <w:rsid w:val="00586941"/>
    <w:rsid w:val="005A6E56"/>
    <w:rsid w:val="005B583D"/>
    <w:rsid w:val="005C052C"/>
    <w:rsid w:val="005C3890"/>
    <w:rsid w:val="005C479B"/>
    <w:rsid w:val="005C6591"/>
    <w:rsid w:val="005F53A8"/>
    <w:rsid w:val="0061082B"/>
    <w:rsid w:val="00612F75"/>
    <w:rsid w:val="00613384"/>
    <w:rsid w:val="00613E88"/>
    <w:rsid w:val="00627307"/>
    <w:rsid w:val="00642E87"/>
    <w:rsid w:val="00647E73"/>
    <w:rsid w:val="0066469D"/>
    <w:rsid w:val="00666309"/>
    <w:rsid w:val="0067486F"/>
    <w:rsid w:val="00680CE5"/>
    <w:rsid w:val="00683FD2"/>
    <w:rsid w:val="006946AE"/>
    <w:rsid w:val="006A0E9F"/>
    <w:rsid w:val="006A77AA"/>
    <w:rsid w:val="006B0D5D"/>
    <w:rsid w:val="006E37D2"/>
    <w:rsid w:val="006E4FD9"/>
    <w:rsid w:val="00701A7F"/>
    <w:rsid w:val="00701B2D"/>
    <w:rsid w:val="00722A90"/>
    <w:rsid w:val="007247BB"/>
    <w:rsid w:val="00726755"/>
    <w:rsid w:val="00750F0A"/>
    <w:rsid w:val="0079621B"/>
    <w:rsid w:val="00797A4F"/>
    <w:rsid w:val="007D1609"/>
    <w:rsid w:val="007D7BD2"/>
    <w:rsid w:val="007E556A"/>
    <w:rsid w:val="007F3794"/>
    <w:rsid w:val="00800415"/>
    <w:rsid w:val="00800AA3"/>
    <w:rsid w:val="00805203"/>
    <w:rsid w:val="00817DA8"/>
    <w:rsid w:val="008310BB"/>
    <w:rsid w:val="008400FA"/>
    <w:rsid w:val="008630F5"/>
    <w:rsid w:val="008701FE"/>
    <w:rsid w:val="00880611"/>
    <w:rsid w:val="00882FDC"/>
    <w:rsid w:val="00895E28"/>
    <w:rsid w:val="008B707D"/>
    <w:rsid w:val="008C09B4"/>
    <w:rsid w:val="008E55DB"/>
    <w:rsid w:val="00901AF1"/>
    <w:rsid w:val="0091080F"/>
    <w:rsid w:val="0092461E"/>
    <w:rsid w:val="00961319"/>
    <w:rsid w:val="00965631"/>
    <w:rsid w:val="009700B4"/>
    <w:rsid w:val="00973992"/>
    <w:rsid w:val="00990C21"/>
    <w:rsid w:val="009A5CBF"/>
    <w:rsid w:val="009B2823"/>
    <w:rsid w:val="009D2A6C"/>
    <w:rsid w:val="009D3DC4"/>
    <w:rsid w:val="00A102FA"/>
    <w:rsid w:val="00A113E8"/>
    <w:rsid w:val="00A26314"/>
    <w:rsid w:val="00A327CC"/>
    <w:rsid w:val="00A32FCA"/>
    <w:rsid w:val="00A336F5"/>
    <w:rsid w:val="00A34204"/>
    <w:rsid w:val="00A5386C"/>
    <w:rsid w:val="00A6256F"/>
    <w:rsid w:val="00A640F0"/>
    <w:rsid w:val="00A922D9"/>
    <w:rsid w:val="00A93269"/>
    <w:rsid w:val="00A95988"/>
    <w:rsid w:val="00AE5524"/>
    <w:rsid w:val="00AE70E3"/>
    <w:rsid w:val="00AF448B"/>
    <w:rsid w:val="00AF76D8"/>
    <w:rsid w:val="00B13958"/>
    <w:rsid w:val="00B15447"/>
    <w:rsid w:val="00B212F6"/>
    <w:rsid w:val="00B213B6"/>
    <w:rsid w:val="00B306E0"/>
    <w:rsid w:val="00B424C1"/>
    <w:rsid w:val="00B446E4"/>
    <w:rsid w:val="00B7770F"/>
    <w:rsid w:val="00B92301"/>
    <w:rsid w:val="00BA2A35"/>
    <w:rsid w:val="00BA79C7"/>
    <w:rsid w:val="00BB0ED6"/>
    <w:rsid w:val="00BC67E6"/>
    <w:rsid w:val="00BF0DC2"/>
    <w:rsid w:val="00C0575C"/>
    <w:rsid w:val="00C174B6"/>
    <w:rsid w:val="00C36494"/>
    <w:rsid w:val="00C676F6"/>
    <w:rsid w:val="00C84C29"/>
    <w:rsid w:val="00C91CF6"/>
    <w:rsid w:val="00CB4A88"/>
    <w:rsid w:val="00CD0FA0"/>
    <w:rsid w:val="00CD5AEB"/>
    <w:rsid w:val="00CE7C9F"/>
    <w:rsid w:val="00CE7F54"/>
    <w:rsid w:val="00CF1C35"/>
    <w:rsid w:val="00CF5150"/>
    <w:rsid w:val="00D05107"/>
    <w:rsid w:val="00D34D6B"/>
    <w:rsid w:val="00D36684"/>
    <w:rsid w:val="00D52677"/>
    <w:rsid w:val="00D57AE2"/>
    <w:rsid w:val="00D75ED7"/>
    <w:rsid w:val="00D942FE"/>
    <w:rsid w:val="00D9548D"/>
    <w:rsid w:val="00DB34D4"/>
    <w:rsid w:val="00DB563B"/>
    <w:rsid w:val="00DD0E60"/>
    <w:rsid w:val="00DF18EF"/>
    <w:rsid w:val="00DF6BA5"/>
    <w:rsid w:val="00E15630"/>
    <w:rsid w:val="00E17F0E"/>
    <w:rsid w:val="00E273A5"/>
    <w:rsid w:val="00E350A7"/>
    <w:rsid w:val="00E53645"/>
    <w:rsid w:val="00E53B26"/>
    <w:rsid w:val="00E6268B"/>
    <w:rsid w:val="00E70281"/>
    <w:rsid w:val="00E87858"/>
    <w:rsid w:val="00EB1595"/>
    <w:rsid w:val="00ED0648"/>
    <w:rsid w:val="00ED4675"/>
    <w:rsid w:val="00ED7D73"/>
    <w:rsid w:val="00EE2FC1"/>
    <w:rsid w:val="00EF4EFA"/>
    <w:rsid w:val="00EF7376"/>
    <w:rsid w:val="00F146B7"/>
    <w:rsid w:val="00F14E87"/>
    <w:rsid w:val="00F24D6B"/>
    <w:rsid w:val="00F31849"/>
    <w:rsid w:val="00F471AF"/>
    <w:rsid w:val="00F746BD"/>
    <w:rsid w:val="00FA1D64"/>
    <w:rsid w:val="00FA4F66"/>
    <w:rsid w:val="00FB4348"/>
    <w:rsid w:val="00FC40FC"/>
    <w:rsid w:val="00FC5642"/>
    <w:rsid w:val="00FC6441"/>
    <w:rsid w:val="00FE53B5"/>
    <w:rsid w:val="00FF169A"/>
    <w:rsid w:val="00FF415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ok Antiqua" w:eastAsia="MS Mincho" w:hAnsi="Book Antiqua"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64D"/>
    <w:pPr>
      <w:widowControl w:val="0"/>
      <w:jc w:val="both"/>
    </w:pPr>
    <w:rPr>
      <w:sz w:val="24"/>
      <w:szCs w:val="24"/>
      <w:lang w:val="en-GB" w:eastAsia="ja-JP"/>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0D36"/>
    <w:pPr>
      <w:widowControl/>
      <w:spacing w:before="100" w:beforeAutospacing="1" w:after="100" w:afterAutospacing="1"/>
      <w:jc w:val="left"/>
    </w:pPr>
    <w:rPr>
      <w:rFonts w:ascii="MS PGothic" w:eastAsia="MS PGothic" w:hAnsi="MS PGothic" w:cs="MS PGothic"/>
      <w:lang w:val="en-US"/>
    </w:rPr>
  </w:style>
  <w:style w:type="paragraph" w:styleId="a4">
    <w:name w:val="Balloon Text"/>
    <w:basedOn w:val="a"/>
    <w:link w:val="Char"/>
    <w:uiPriority w:val="99"/>
    <w:semiHidden/>
    <w:unhideWhenUsed/>
    <w:rsid w:val="00B306E0"/>
    <w:rPr>
      <w:rFonts w:ascii="Arial" w:eastAsia="MS Gothic" w:hAnsi="Arial"/>
      <w:sz w:val="18"/>
      <w:szCs w:val="18"/>
      <w:lang/>
    </w:rPr>
  </w:style>
  <w:style w:type="character" w:customStyle="1" w:styleId="Char">
    <w:name w:val="풍선 도움말 텍스트 Char"/>
    <w:link w:val="a4"/>
    <w:uiPriority w:val="99"/>
    <w:semiHidden/>
    <w:rsid w:val="00B306E0"/>
    <w:rPr>
      <w:rFonts w:ascii="Arial" w:eastAsia="MS Gothic" w:hAnsi="Arial" w:cs="Times New Roman"/>
      <w:sz w:val="18"/>
      <w:szCs w:val="18"/>
      <w:lang w:val="en-GB"/>
    </w:rPr>
  </w:style>
  <w:style w:type="paragraph" w:styleId="a5">
    <w:name w:val="header"/>
    <w:basedOn w:val="a"/>
    <w:link w:val="Char0"/>
    <w:uiPriority w:val="99"/>
    <w:unhideWhenUsed/>
    <w:rsid w:val="00FA4F66"/>
    <w:pPr>
      <w:tabs>
        <w:tab w:val="center" w:pos="4252"/>
        <w:tab w:val="right" w:pos="8504"/>
      </w:tabs>
      <w:snapToGrid w:val="0"/>
    </w:pPr>
    <w:rPr>
      <w:sz w:val="20"/>
      <w:szCs w:val="20"/>
      <w:lang/>
    </w:rPr>
  </w:style>
  <w:style w:type="character" w:customStyle="1" w:styleId="Char0">
    <w:name w:val="머리글 Char"/>
    <w:link w:val="a5"/>
    <w:uiPriority w:val="99"/>
    <w:rsid w:val="00FA4F66"/>
    <w:rPr>
      <w:lang w:val="en-GB"/>
    </w:rPr>
  </w:style>
  <w:style w:type="paragraph" w:styleId="a6">
    <w:name w:val="footer"/>
    <w:basedOn w:val="a"/>
    <w:link w:val="Char1"/>
    <w:uiPriority w:val="99"/>
    <w:unhideWhenUsed/>
    <w:rsid w:val="00FA4F66"/>
    <w:pPr>
      <w:tabs>
        <w:tab w:val="center" w:pos="4252"/>
        <w:tab w:val="right" w:pos="8504"/>
      </w:tabs>
      <w:snapToGrid w:val="0"/>
    </w:pPr>
    <w:rPr>
      <w:sz w:val="20"/>
      <w:szCs w:val="20"/>
      <w:lang/>
    </w:rPr>
  </w:style>
  <w:style w:type="character" w:customStyle="1" w:styleId="Char1">
    <w:name w:val="바닥글 Char"/>
    <w:link w:val="a6"/>
    <w:uiPriority w:val="99"/>
    <w:rsid w:val="00FA4F66"/>
    <w:rPr>
      <w:lang w:val="en-GB"/>
    </w:rPr>
  </w:style>
  <w:style w:type="paragraph" w:styleId="a7">
    <w:name w:val="Date"/>
    <w:basedOn w:val="a"/>
    <w:next w:val="a"/>
    <w:link w:val="Char2"/>
    <w:uiPriority w:val="99"/>
    <w:semiHidden/>
    <w:unhideWhenUsed/>
    <w:rsid w:val="00E273A5"/>
    <w:rPr>
      <w:lang/>
    </w:rPr>
  </w:style>
  <w:style w:type="character" w:customStyle="1" w:styleId="Char2">
    <w:name w:val="날짜 Char"/>
    <w:link w:val="a7"/>
    <w:uiPriority w:val="99"/>
    <w:semiHidden/>
    <w:rsid w:val="00E273A5"/>
    <w:rPr>
      <w:sz w:val="24"/>
      <w:szCs w:val="24"/>
      <w:lang w:val="en-GB"/>
    </w:rPr>
  </w:style>
  <w:style w:type="paragraph" w:styleId="a8">
    <w:name w:val="footnote text"/>
    <w:basedOn w:val="a"/>
    <w:link w:val="Char3"/>
    <w:uiPriority w:val="99"/>
    <w:semiHidden/>
    <w:unhideWhenUsed/>
    <w:rsid w:val="00B446E4"/>
    <w:pPr>
      <w:snapToGrid w:val="0"/>
      <w:jc w:val="left"/>
    </w:pPr>
    <w:rPr>
      <w:lang/>
    </w:rPr>
  </w:style>
  <w:style w:type="character" w:customStyle="1" w:styleId="Char3">
    <w:name w:val="각주 텍스트 Char"/>
    <w:link w:val="a8"/>
    <w:uiPriority w:val="99"/>
    <w:semiHidden/>
    <w:rsid w:val="00B446E4"/>
    <w:rPr>
      <w:sz w:val="24"/>
      <w:szCs w:val="24"/>
      <w:lang w:val="en-GB"/>
    </w:rPr>
  </w:style>
  <w:style w:type="character" w:styleId="a9">
    <w:name w:val="footnote reference"/>
    <w:uiPriority w:val="99"/>
    <w:semiHidden/>
    <w:unhideWhenUsed/>
    <w:rsid w:val="00B446E4"/>
    <w:rPr>
      <w:vertAlign w:val="superscript"/>
    </w:rPr>
  </w:style>
  <w:style w:type="character" w:styleId="aa">
    <w:name w:val="Strong"/>
    <w:uiPriority w:val="22"/>
    <w:qFormat/>
    <w:rsid w:val="00177A5B"/>
    <w:rPr>
      <w:b/>
      <w:bCs/>
    </w:rPr>
  </w:style>
  <w:style w:type="paragraph" w:customStyle="1" w:styleId="Default">
    <w:name w:val="Default"/>
    <w:rsid w:val="00185E37"/>
    <w:pPr>
      <w:widowControl w:val="0"/>
      <w:autoSpaceDE w:val="0"/>
      <w:autoSpaceDN w:val="0"/>
      <w:adjustRightInd w:val="0"/>
    </w:pPr>
    <w:rPr>
      <w:rFonts w:ascii="Times New Roman" w:hAnsi="Times New Roman"/>
      <w:color w:val="000000"/>
      <w:sz w:val="24"/>
      <w:szCs w:val="24"/>
      <w:lang w:eastAsia="ja-JP"/>
    </w:rPr>
  </w:style>
  <w:style w:type="character" w:styleId="ab">
    <w:name w:val="annotation reference"/>
    <w:uiPriority w:val="99"/>
    <w:semiHidden/>
    <w:unhideWhenUsed/>
    <w:rsid w:val="00E87858"/>
    <w:rPr>
      <w:sz w:val="18"/>
      <w:szCs w:val="18"/>
    </w:rPr>
  </w:style>
  <w:style w:type="paragraph" w:styleId="ac">
    <w:name w:val="annotation text"/>
    <w:basedOn w:val="a"/>
    <w:link w:val="Char4"/>
    <w:uiPriority w:val="99"/>
    <w:semiHidden/>
    <w:unhideWhenUsed/>
    <w:rsid w:val="00E87858"/>
    <w:pPr>
      <w:jc w:val="left"/>
    </w:pPr>
    <w:rPr>
      <w:lang/>
    </w:rPr>
  </w:style>
  <w:style w:type="character" w:customStyle="1" w:styleId="Char4">
    <w:name w:val="메모 텍스트 Char"/>
    <w:link w:val="ac"/>
    <w:uiPriority w:val="99"/>
    <w:semiHidden/>
    <w:rsid w:val="00E87858"/>
    <w:rPr>
      <w:sz w:val="24"/>
      <w:szCs w:val="24"/>
      <w:lang w:val="en-GB"/>
    </w:rPr>
  </w:style>
  <w:style w:type="paragraph" w:styleId="ad">
    <w:name w:val="annotation subject"/>
    <w:basedOn w:val="ac"/>
    <w:next w:val="ac"/>
    <w:link w:val="Char5"/>
    <w:uiPriority w:val="99"/>
    <w:semiHidden/>
    <w:unhideWhenUsed/>
    <w:rsid w:val="00E87858"/>
    <w:rPr>
      <w:b/>
      <w:bCs/>
    </w:rPr>
  </w:style>
  <w:style w:type="character" w:customStyle="1" w:styleId="Char5">
    <w:name w:val="메모 주제 Char"/>
    <w:link w:val="ad"/>
    <w:uiPriority w:val="99"/>
    <w:semiHidden/>
    <w:rsid w:val="00E87858"/>
    <w:rPr>
      <w:b/>
      <w:bCs/>
      <w:sz w:val="24"/>
      <w:szCs w:val="24"/>
      <w:lang w:val="en-GB"/>
    </w:rPr>
  </w:style>
</w:styles>
</file>

<file path=word/webSettings.xml><?xml version="1.0" encoding="utf-8"?>
<w:webSettings xmlns:r="http://schemas.openxmlformats.org/officeDocument/2006/relationships" xmlns:w="http://schemas.openxmlformats.org/wordprocessingml/2006/main">
  <w:divs>
    <w:div w:id="1129276334">
      <w:bodyDiv w:val="1"/>
      <w:marLeft w:val="0"/>
      <w:marRight w:val="0"/>
      <w:marTop w:val="0"/>
      <w:marBottom w:val="0"/>
      <w:divBdr>
        <w:top w:val="none" w:sz="0" w:space="0" w:color="auto"/>
        <w:left w:val="none" w:sz="0" w:space="0" w:color="auto"/>
        <w:bottom w:val="none" w:sz="0" w:space="0" w:color="auto"/>
        <w:right w:val="none" w:sz="0" w:space="0" w:color="auto"/>
      </w:divBdr>
    </w:div>
    <w:div w:id="1707024449">
      <w:bodyDiv w:val="1"/>
      <w:marLeft w:val="0"/>
      <w:marRight w:val="0"/>
      <w:marTop w:val="0"/>
      <w:marBottom w:val="0"/>
      <w:divBdr>
        <w:top w:val="none" w:sz="0" w:space="0" w:color="auto"/>
        <w:left w:val="none" w:sz="0" w:space="0" w:color="auto"/>
        <w:bottom w:val="none" w:sz="0" w:space="0" w:color="auto"/>
        <w:right w:val="none" w:sz="0" w:space="0" w:color="auto"/>
      </w:divBdr>
    </w:div>
    <w:div w:id="1792741313">
      <w:bodyDiv w:val="1"/>
      <w:marLeft w:val="0"/>
      <w:marRight w:val="0"/>
      <w:marTop w:val="0"/>
      <w:marBottom w:val="0"/>
      <w:divBdr>
        <w:top w:val="none" w:sz="0" w:space="0" w:color="auto"/>
        <w:left w:val="none" w:sz="0" w:space="0" w:color="auto"/>
        <w:bottom w:val="none" w:sz="0" w:space="0" w:color="auto"/>
        <w:right w:val="none" w:sz="0" w:space="0" w:color="auto"/>
      </w:divBdr>
    </w:div>
    <w:div w:id="208143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468</Words>
  <Characters>2670</Characters>
  <Application>Microsoft Office Word</Application>
  <DocSecurity>0</DocSecurity>
  <Lines>22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17th Revision of the IBF High Risk Area in the Gulf of Aden</vt:lpstr>
      <vt:lpstr>17th Revision of the IBF High Risk Area in the Gulf of Aden</vt:lpstr>
    </vt:vector>
  </TitlesOfParts>
  <Company/>
  <LinksUpToDate>false</LinksUpToDate>
  <CharactersWithSpaces>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17th Revision of the IBF High Risk Area in the Gulf of Aden</dc:title>
  <dc:creator>ShokoDoi</dc:creator>
  <cp:lastModifiedBy>김호성</cp:lastModifiedBy>
  <cp:revision>2</cp:revision>
  <dcterms:created xsi:type="dcterms:W3CDTF">2011-02-24T05:41:00Z</dcterms:created>
  <dcterms:modified xsi:type="dcterms:W3CDTF">2011-02-24T05:41:00Z</dcterms:modified>
</cp:coreProperties>
</file>